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48DD" w14:textId="2FFB0E59" w:rsidR="00FF3DA5" w:rsidRPr="00203BBF" w:rsidRDefault="007B0DB0" w:rsidP="00FF3DA5">
      <w:pPr>
        <w:jc w:val="both"/>
        <w:rPr>
          <w:lang w:val="en-GB"/>
        </w:rPr>
      </w:pPr>
      <w:r w:rsidRPr="00203BBF">
        <w:rPr>
          <w:lang w:val="en-GB"/>
        </w:rPr>
        <w:t>December 3,</w:t>
      </w:r>
      <w:r w:rsidR="00FF3DA5" w:rsidRPr="00203BBF">
        <w:rPr>
          <w:lang w:val="en-GB"/>
        </w:rPr>
        <w:t xml:space="preserve"> 202</w:t>
      </w:r>
      <w:r w:rsidR="00747312" w:rsidRPr="00203BBF">
        <w:rPr>
          <w:lang w:val="en-GB"/>
        </w:rPr>
        <w:t>5</w:t>
      </w:r>
    </w:p>
    <w:p w14:paraId="14DA385A" w14:textId="4F7D2152" w:rsidR="000D192C" w:rsidRPr="00203BBF" w:rsidRDefault="09ED63C0" w:rsidP="1FA53D4F">
      <w:pPr>
        <w:spacing w:line="259" w:lineRule="auto"/>
        <w:jc w:val="both"/>
        <w:rPr>
          <w:b/>
          <w:bCs/>
          <w:sz w:val="28"/>
          <w:szCs w:val="28"/>
          <w:lang w:val="en-GB"/>
        </w:rPr>
      </w:pPr>
      <w:r w:rsidRPr="00203BBF">
        <w:rPr>
          <w:b/>
          <w:bCs/>
          <w:sz w:val="28"/>
          <w:szCs w:val="28"/>
          <w:lang w:val="en-GB"/>
        </w:rPr>
        <w:t xml:space="preserve">Skanska sold </w:t>
      </w:r>
      <w:r w:rsidR="007150C6" w:rsidRPr="00203BBF">
        <w:rPr>
          <w:b/>
          <w:bCs/>
          <w:sz w:val="28"/>
          <w:szCs w:val="28"/>
          <w:lang w:val="en-GB"/>
        </w:rPr>
        <w:t xml:space="preserve">AFI </w:t>
      </w:r>
      <w:r w:rsidRPr="00203BBF">
        <w:rPr>
          <w:b/>
          <w:bCs/>
          <w:sz w:val="28"/>
          <w:szCs w:val="28"/>
          <w:lang w:val="en-GB"/>
        </w:rPr>
        <w:t>the Port7 office complex in Prague's Holešovice district</w:t>
      </w:r>
    </w:p>
    <w:p w14:paraId="7F582CDE" w14:textId="2CAD85BE" w:rsidR="000D192C" w:rsidRPr="00203BBF" w:rsidRDefault="0C419524" w:rsidP="07AA68B8">
      <w:pPr>
        <w:spacing w:line="259" w:lineRule="auto"/>
        <w:jc w:val="both"/>
        <w:rPr>
          <w:b/>
          <w:bCs/>
          <w:sz w:val="22"/>
          <w:szCs w:val="22"/>
          <w:lang w:val="en-GB"/>
        </w:rPr>
      </w:pPr>
      <w:r w:rsidRPr="00203BBF">
        <w:rPr>
          <w:b/>
          <w:bCs/>
          <w:sz w:val="22"/>
          <w:szCs w:val="22"/>
          <w:lang w:val="en-GB"/>
        </w:rPr>
        <w:t>Skanska has signed an agreement to sell the Port7 office complex in Prague's Holešovice district</w:t>
      </w:r>
      <w:r w:rsidR="0055158C" w:rsidRPr="00203BBF">
        <w:rPr>
          <w:b/>
          <w:bCs/>
          <w:sz w:val="22"/>
          <w:szCs w:val="22"/>
          <w:lang w:val="en-GB"/>
        </w:rPr>
        <w:t xml:space="preserve">, to </w:t>
      </w:r>
      <w:r w:rsidR="006F575F" w:rsidRPr="00203BBF">
        <w:rPr>
          <w:b/>
          <w:bCs/>
          <w:sz w:val="22"/>
          <w:szCs w:val="22"/>
          <w:lang w:val="en-GB"/>
        </w:rPr>
        <w:t xml:space="preserve">AFI </w:t>
      </w:r>
      <w:r w:rsidR="007B0DB0">
        <w:rPr>
          <w:b/>
          <w:bCs/>
          <w:sz w:val="22"/>
          <w:szCs w:val="22"/>
          <w:lang w:val="en-GB"/>
        </w:rPr>
        <w:t>Group</w:t>
      </w:r>
      <w:r w:rsidR="006F575F" w:rsidRPr="00203BBF">
        <w:rPr>
          <w:b/>
          <w:bCs/>
          <w:sz w:val="22"/>
          <w:szCs w:val="22"/>
          <w:lang w:val="en-GB"/>
        </w:rPr>
        <w:t xml:space="preserve">. </w:t>
      </w:r>
      <w:r w:rsidRPr="00203BBF">
        <w:rPr>
          <w:b/>
          <w:bCs/>
          <w:sz w:val="22"/>
          <w:szCs w:val="22"/>
          <w:lang w:val="en-GB"/>
        </w:rPr>
        <w:t xml:space="preserve">The transaction </w:t>
      </w:r>
      <w:r w:rsidR="00C85EEA" w:rsidRPr="00203BBF">
        <w:rPr>
          <w:b/>
          <w:bCs/>
          <w:sz w:val="22"/>
          <w:szCs w:val="22"/>
          <w:lang w:val="en-GB"/>
        </w:rPr>
        <w:t xml:space="preserve">reaching CZK 3.16 billion </w:t>
      </w:r>
      <w:r w:rsidRPr="00203BBF">
        <w:rPr>
          <w:b/>
          <w:bCs/>
          <w:sz w:val="22"/>
          <w:szCs w:val="22"/>
          <w:lang w:val="en-GB"/>
        </w:rPr>
        <w:t>confirms growing investor interest in high-quality, sustainable projects and under</w:t>
      </w:r>
      <w:r w:rsidR="007A721F" w:rsidRPr="00203BBF">
        <w:rPr>
          <w:b/>
          <w:bCs/>
          <w:sz w:val="22"/>
          <w:szCs w:val="22"/>
          <w:lang w:val="en-GB"/>
        </w:rPr>
        <w:t>lines</w:t>
      </w:r>
      <w:r w:rsidRPr="00203BBF">
        <w:rPr>
          <w:b/>
          <w:bCs/>
          <w:sz w:val="22"/>
          <w:szCs w:val="22"/>
          <w:lang w:val="en-GB"/>
        </w:rPr>
        <w:t xml:space="preserve"> Skanska's position as a leader in </w:t>
      </w:r>
      <w:r w:rsidR="008231C1" w:rsidRPr="00203BBF">
        <w:rPr>
          <w:b/>
          <w:bCs/>
          <w:sz w:val="22"/>
          <w:szCs w:val="22"/>
          <w:lang w:val="en-GB"/>
        </w:rPr>
        <w:t>sustainable</w:t>
      </w:r>
      <w:r w:rsidRPr="00203BBF">
        <w:rPr>
          <w:b/>
          <w:bCs/>
          <w:sz w:val="22"/>
          <w:szCs w:val="22"/>
          <w:lang w:val="en-GB"/>
        </w:rPr>
        <w:t xml:space="preserve"> development in the Czech Republic.</w:t>
      </w:r>
    </w:p>
    <w:p w14:paraId="04C3DDBE" w14:textId="72C03F9C" w:rsidR="003B7B4E" w:rsidRPr="00203BBF" w:rsidRDefault="0C419524" w:rsidP="07AA68B8">
      <w:pPr>
        <w:spacing w:line="259" w:lineRule="auto"/>
        <w:jc w:val="both"/>
        <w:rPr>
          <w:sz w:val="22"/>
          <w:szCs w:val="22"/>
          <w:lang w:val="en-GB"/>
        </w:rPr>
      </w:pPr>
      <w:r w:rsidRPr="00203BBF">
        <w:rPr>
          <w:sz w:val="22"/>
          <w:szCs w:val="22"/>
          <w:lang w:val="en-GB"/>
        </w:rPr>
        <w:t>Port7 is located on the banks of the Vltava River in Prague's Holešovice district</w:t>
      </w:r>
      <w:r w:rsidR="00590159" w:rsidRPr="00203BBF">
        <w:rPr>
          <w:sz w:val="22"/>
          <w:szCs w:val="22"/>
          <w:lang w:val="en-GB"/>
        </w:rPr>
        <w:t xml:space="preserve"> on top of a transportation hub</w:t>
      </w:r>
      <w:r w:rsidRPr="00203BBF">
        <w:rPr>
          <w:sz w:val="22"/>
          <w:szCs w:val="22"/>
          <w:lang w:val="en-GB"/>
        </w:rPr>
        <w:t xml:space="preserve">. </w:t>
      </w:r>
      <w:r w:rsidR="003B7B4E" w:rsidRPr="00203BBF">
        <w:rPr>
          <w:sz w:val="22"/>
          <w:szCs w:val="22"/>
          <w:lang w:val="en-GB"/>
        </w:rPr>
        <w:t xml:space="preserve">The complex comprises three office buildings totalling </w:t>
      </w:r>
      <w:r w:rsidR="007B143B" w:rsidRPr="00203BBF">
        <w:rPr>
          <w:sz w:val="22"/>
          <w:szCs w:val="22"/>
          <w:lang w:val="en-GB"/>
        </w:rPr>
        <w:t>approx.</w:t>
      </w:r>
      <w:r w:rsidR="003B7B4E" w:rsidRPr="00203BBF">
        <w:rPr>
          <w:sz w:val="22"/>
          <w:szCs w:val="22"/>
          <w:lang w:val="en-GB"/>
        </w:rPr>
        <w:t xml:space="preserve"> 36,000 sqm of leasable space and a land plot for future development. The fully leased office and retail premises</w:t>
      </w:r>
      <w:r w:rsidR="00D81595">
        <w:rPr>
          <w:sz w:val="22"/>
          <w:szCs w:val="22"/>
          <w:lang w:val="en-GB"/>
        </w:rPr>
        <w:t xml:space="preserve"> </w:t>
      </w:r>
      <w:r w:rsidR="003B7B4E" w:rsidRPr="00203BBF">
        <w:rPr>
          <w:sz w:val="22"/>
          <w:szCs w:val="22"/>
          <w:lang w:val="en-GB"/>
        </w:rPr>
        <w:t>host tenants from a broad range of sectors, including IT, media and publishing, flexible workspace, insurance, advisory services and engineering.</w:t>
      </w:r>
      <w:r w:rsidR="004E54A5" w:rsidRPr="00203BBF">
        <w:rPr>
          <w:sz w:val="22"/>
          <w:szCs w:val="22"/>
          <w:lang w:val="en-GB"/>
        </w:rPr>
        <w:t xml:space="preserve"> </w:t>
      </w:r>
      <w:r w:rsidR="004E54A5" w:rsidRPr="00203BBF">
        <w:rPr>
          <w:rFonts w:eastAsia="Aptos" w:cs="Aptos"/>
          <w:sz w:val="22"/>
          <w:szCs w:val="22"/>
          <w:lang w:val="en-GB"/>
        </w:rPr>
        <w:t>Tenants include companies such as Shoptet, Aeven, Sweco, Economia, Scott.Weber and COTY, among others.</w:t>
      </w:r>
    </w:p>
    <w:p w14:paraId="5A61FE69" w14:textId="4D76A227" w:rsidR="00F0661F" w:rsidRPr="00203BBF" w:rsidRDefault="00F0661F" w:rsidP="00483C51">
      <w:pPr>
        <w:spacing w:line="259" w:lineRule="auto"/>
        <w:jc w:val="both"/>
        <w:rPr>
          <w:i/>
          <w:iCs/>
          <w:sz w:val="22"/>
          <w:szCs w:val="22"/>
          <w:lang w:val="en-GB"/>
        </w:rPr>
      </w:pPr>
      <w:r w:rsidRPr="00203BBF">
        <w:rPr>
          <w:i/>
          <w:iCs/>
          <w:sz w:val="22"/>
          <w:szCs w:val="22"/>
          <w:lang w:val="en-GB"/>
        </w:rPr>
        <w:t>“The acquisition of Port7 represents another important milestone for AFI, reaffirming our focus on high</w:t>
      </w:r>
      <w:r w:rsidRPr="00203BBF">
        <w:rPr>
          <w:rFonts w:ascii="Cambria Math" w:hAnsi="Cambria Math" w:cs="Cambria Math"/>
          <w:i/>
          <w:iCs/>
          <w:sz w:val="22"/>
          <w:szCs w:val="22"/>
          <w:lang w:val="en-GB"/>
        </w:rPr>
        <w:t>‑</w:t>
      </w:r>
      <w:r w:rsidRPr="00203BBF">
        <w:rPr>
          <w:i/>
          <w:iCs/>
          <w:sz w:val="22"/>
          <w:szCs w:val="22"/>
          <w:lang w:val="en-GB"/>
        </w:rPr>
        <w:t>quality, well</w:t>
      </w:r>
      <w:r w:rsidRPr="00203BBF">
        <w:rPr>
          <w:rFonts w:ascii="Cambria Math" w:hAnsi="Cambria Math" w:cs="Cambria Math"/>
          <w:i/>
          <w:iCs/>
          <w:sz w:val="22"/>
          <w:szCs w:val="22"/>
          <w:lang w:val="en-GB"/>
        </w:rPr>
        <w:t>‑</w:t>
      </w:r>
      <w:r w:rsidRPr="00203BBF">
        <w:rPr>
          <w:i/>
          <w:iCs/>
          <w:sz w:val="22"/>
          <w:szCs w:val="22"/>
          <w:lang w:val="en-GB"/>
        </w:rPr>
        <w:t>located mixed</w:t>
      </w:r>
      <w:r w:rsidRPr="00203BBF">
        <w:rPr>
          <w:rFonts w:ascii="Cambria Math" w:hAnsi="Cambria Math" w:cs="Cambria Math"/>
          <w:i/>
          <w:iCs/>
          <w:sz w:val="22"/>
          <w:szCs w:val="22"/>
          <w:lang w:val="en-GB"/>
        </w:rPr>
        <w:t>‑</w:t>
      </w:r>
      <w:r w:rsidRPr="00203BBF">
        <w:rPr>
          <w:i/>
          <w:iCs/>
          <w:sz w:val="22"/>
          <w:szCs w:val="22"/>
          <w:lang w:val="en-GB"/>
        </w:rPr>
        <w:t>use projects. Port7 will be a valuable addition to our portfolio upon closing. We are proud to have reached our first agreement with Skanska, who have delivered an exceptional project,</w:t>
      </w:r>
      <w:r w:rsidRPr="00203BBF">
        <w:rPr>
          <w:rFonts w:cs="Aptos"/>
          <w:i/>
          <w:iCs/>
          <w:sz w:val="22"/>
          <w:szCs w:val="22"/>
          <w:lang w:val="en-GB"/>
        </w:rPr>
        <w:t>”</w:t>
      </w:r>
      <w:r w:rsidRPr="00203BBF">
        <w:rPr>
          <w:i/>
          <w:iCs/>
          <w:sz w:val="22"/>
          <w:szCs w:val="22"/>
          <w:lang w:val="en-GB"/>
        </w:rPr>
        <w:t xml:space="preserve"> </w:t>
      </w:r>
      <w:r w:rsidRPr="00203BBF">
        <w:rPr>
          <w:sz w:val="22"/>
          <w:szCs w:val="22"/>
          <w:lang w:val="en-GB"/>
        </w:rPr>
        <w:t xml:space="preserve">comments </w:t>
      </w:r>
      <w:r w:rsidRPr="00203BBF">
        <w:rPr>
          <w:b/>
          <w:bCs/>
          <w:sz w:val="22"/>
          <w:szCs w:val="22"/>
          <w:lang w:val="en-GB"/>
        </w:rPr>
        <w:t>Doron Klein, Deputy CEO of AFI Group</w:t>
      </w:r>
      <w:r w:rsidRPr="00203BBF">
        <w:rPr>
          <w:sz w:val="22"/>
          <w:szCs w:val="22"/>
          <w:lang w:val="en-GB"/>
        </w:rPr>
        <w:t>.</w:t>
      </w:r>
    </w:p>
    <w:p w14:paraId="778F8546" w14:textId="6BBBF731" w:rsidR="00C85EEA" w:rsidRPr="007B0DB0" w:rsidRDefault="00C85EEA" w:rsidP="00483C51">
      <w:pPr>
        <w:spacing w:line="259" w:lineRule="auto"/>
        <w:jc w:val="both"/>
        <w:rPr>
          <w:sz w:val="22"/>
          <w:szCs w:val="22"/>
          <w:lang w:val="en-GB"/>
        </w:rPr>
      </w:pPr>
      <w:r w:rsidRPr="00203BBF">
        <w:rPr>
          <w:i/>
          <w:iCs/>
          <w:sz w:val="22"/>
          <w:szCs w:val="22"/>
          <w:lang w:val="en-GB"/>
        </w:rPr>
        <w:t xml:space="preserve">“We remain confident in the office sector. The Czech office market is strong, robust and stable. Occupancy levels are high across the market and within our own portfolio. Our buildings are busy throughout the </w:t>
      </w:r>
      <w:r w:rsidR="00203BBF" w:rsidRPr="00203BBF">
        <w:rPr>
          <w:i/>
          <w:iCs/>
          <w:sz w:val="22"/>
          <w:szCs w:val="22"/>
          <w:lang w:val="en-GB"/>
        </w:rPr>
        <w:t>week,</w:t>
      </w:r>
      <w:r w:rsidRPr="00203BBF">
        <w:rPr>
          <w:i/>
          <w:iCs/>
          <w:sz w:val="22"/>
          <w:szCs w:val="22"/>
          <w:lang w:val="en-GB"/>
        </w:rPr>
        <w:t xml:space="preserve"> and </w:t>
      </w:r>
      <w:r w:rsidR="00FE5F87" w:rsidRPr="00203BBF">
        <w:rPr>
          <w:i/>
          <w:iCs/>
          <w:sz w:val="22"/>
          <w:szCs w:val="22"/>
          <w:lang w:val="en-GB"/>
        </w:rPr>
        <w:t>we are seeing almost full occupancy overall</w:t>
      </w:r>
      <w:r w:rsidRPr="00203BBF">
        <w:rPr>
          <w:i/>
          <w:iCs/>
          <w:sz w:val="22"/>
          <w:szCs w:val="22"/>
          <w:lang w:val="en-GB"/>
        </w:rPr>
        <w:t>, which is a very positive signal. That is why we value the acquisition of Port7 so highly. The recently completed premium office complex has a clear focus on sustainability and offers a vibrant programme of activities for tenants and nearby residents that supports the local community. This is fully aligned with our vision and our existing portfolio,”</w:t>
      </w:r>
      <w:r w:rsidRPr="00203BBF">
        <w:rPr>
          <w:sz w:val="22"/>
          <w:szCs w:val="22"/>
          <w:lang w:val="en-GB"/>
        </w:rPr>
        <w:t xml:space="preserve"> comments </w:t>
      </w:r>
      <w:r w:rsidRPr="00203BBF">
        <w:rPr>
          <w:b/>
          <w:bCs/>
          <w:sz w:val="22"/>
          <w:szCs w:val="22"/>
          <w:lang w:val="en-GB"/>
        </w:rPr>
        <w:t>Karin Shalev Shogol, CEO of AFI Czech Republic</w:t>
      </w:r>
      <w:r w:rsidRPr="00203BBF">
        <w:rPr>
          <w:sz w:val="22"/>
          <w:szCs w:val="22"/>
          <w:lang w:val="en-GB"/>
        </w:rPr>
        <w:t>.</w:t>
      </w:r>
    </w:p>
    <w:p w14:paraId="4CE9E94F" w14:textId="6979305B" w:rsidR="00A16230" w:rsidRPr="007B0DB0" w:rsidRDefault="00A16230" w:rsidP="00483C51">
      <w:pPr>
        <w:spacing w:line="259" w:lineRule="auto"/>
        <w:jc w:val="both"/>
        <w:rPr>
          <w:sz w:val="22"/>
          <w:szCs w:val="22"/>
        </w:rPr>
      </w:pPr>
      <w:r w:rsidRPr="00203BBF">
        <w:rPr>
          <w:i/>
          <w:iCs/>
          <w:sz w:val="22"/>
          <w:szCs w:val="22"/>
          <w:lang w:val="en-US"/>
        </w:rPr>
        <w:t>“This transaction confirms that international capital remains actively interested in top-tier commercial assets</w:t>
      </w:r>
      <w:r w:rsidR="007B0DB0">
        <w:rPr>
          <w:i/>
          <w:iCs/>
          <w:sz w:val="22"/>
          <w:szCs w:val="22"/>
          <w:lang w:val="en-US"/>
        </w:rPr>
        <w:t xml:space="preserve"> </w:t>
      </w:r>
      <w:r w:rsidRPr="00203BBF">
        <w:rPr>
          <w:i/>
          <w:iCs/>
          <w:sz w:val="22"/>
          <w:szCs w:val="22"/>
          <w:lang w:val="en-US"/>
        </w:rPr>
        <w:t>in Prague. Port7 is a prime example of a project that combines technical quality, human-centered design and positive impact on the wider local community. With LEED, WELL, and Access4You certifications, and a thoughtful integration of ESG principles, the project appeals not only to its users, but also to long-term, forward-looking investors</w:t>
      </w:r>
      <w:r w:rsidR="00255883">
        <w:rPr>
          <w:i/>
          <w:iCs/>
          <w:sz w:val="22"/>
          <w:szCs w:val="22"/>
          <w:lang w:val="en-US"/>
        </w:rPr>
        <w:t>,</w:t>
      </w:r>
      <w:r w:rsidRPr="00203BBF">
        <w:rPr>
          <w:i/>
          <w:iCs/>
          <w:sz w:val="22"/>
          <w:szCs w:val="22"/>
          <w:lang w:val="en-US"/>
        </w:rPr>
        <w:t>”</w:t>
      </w:r>
      <w:r w:rsidRPr="007B0DB0">
        <w:rPr>
          <w:sz w:val="22"/>
          <w:szCs w:val="22"/>
          <w:lang w:val="en-US"/>
        </w:rPr>
        <w:t> says </w:t>
      </w:r>
      <w:r w:rsidRPr="00203BBF">
        <w:rPr>
          <w:b/>
          <w:bCs/>
          <w:sz w:val="22"/>
          <w:szCs w:val="22"/>
          <w:lang w:val="en-US"/>
        </w:rPr>
        <w:t>Tomáš Fabian, Executive Vice President Operations (CZ) &amp; Legal Counsel (CEE) at Skanska Commercial Development Europe</w:t>
      </w:r>
      <w:r w:rsidRPr="007B0DB0">
        <w:rPr>
          <w:sz w:val="22"/>
          <w:szCs w:val="22"/>
          <w:lang w:val="en-US"/>
        </w:rPr>
        <w:t>.</w:t>
      </w:r>
      <w:r w:rsidRPr="007B0DB0">
        <w:rPr>
          <w:sz w:val="22"/>
          <w:szCs w:val="22"/>
        </w:rPr>
        <w:t> </w:t>
      </w:r>
    </w:p>
    <w:p w14:paraId="1781E47E" w14:textId="0005A918" w:rsidR="00A16230" w:rsidRPr="00203BBF" w:rsidRDefault="00A16230" w:rsidP="00483C51">
      <w:pPr>
        <w:spacing w:line="259" w:lineRule="auto"/>
        <w:jc w:val="both"/>
        <w:rPr>
          <w:sz w:val="22"/>
          <w:szCs w:val="22"/>
          <w:lang w:val="en-GB"/>
        </w:rPr>
      </w:pPr>
      <w:r w:rsidRPr="00203BBF">
        <w:rPr>
          <w:i/>
          <w:iCs/>
          <w:sz w:val="22"/>
          <w:szCs w:val="22"/>
          <w:lang w:val="en-US"/>
        </w:rPr>
        <w:t>“This transaction marks the first transaction between AFI Group</w:t>
      </w:r>
      <w:r w:rsidR="007B0DB0">
        <w:rPr>
          <w:i/>
          <w:iCs/>
          <w:sz w:val="22"/>
          <w:szCs w:val="22"/>
          <w:lang w:val="en-US"/>
        </w:rPr>
        <w:t xml:space="preserve"> a</w:t>
      </w:r>
      <w:r w:rsidRPr="00203BBF">
        <w:rPr>
          <w:i/>
          <w:iCs/>
          <w:sz w:val="22"/>
          <w:szCs w:val="22"/>
          <w:lang w:val="en-US"/>
        </w:rPr>
        <w:t>nd Skanska in Central and Eastern Europe. The entire process was transparent, smooth, and conducted in a genuinely fair business spirit. AFI is a highly suitable investor for Port7, with extensive experience in both asset management and the development of office and residential projects. This makes them well-positioned to continue the long-term vision for the entire complex</w:t>
      </w:r>
      <w:r w:rsidR="00255883">
        <w:rPr>
          <w:i/>
          <w:iCs/>
          <w:sz w:val="22"/>
          <w:szCs w:val="22"/>
          <w:lang w:val="en-US"/>
        </w:rPr>
        <w:t>,</w:t>
      </w:r>
      <w:r w:rsidRPr="00203BBF">
        <w:rPr>
          <w:i/>
          <w:iCs/>
          <w:sz w:val="22"/>
          <w:szCs w:val="22"/>
          <w:lang w:val="en-US"/>
        </w:rPr>
        <w:t>”</w:t>
      </w:r>
      <w:r w:rsidRPr="007B0DB0">
        <w:rPr>
          <w:sz w:val="22"/>
          <w:szCs w:val="22"/>
          <w:lang w:val="en-US"/>
        </w:rPr>
        <w:t xml:space="preserve"> says </w:t>
      </w:r>
      <w:r w:rsidRPr="00203BBF">
        <w:rPr>
          <w:b/>
          <w:bCs/>
          <w:sz w:val="22"/>
          <w:szCs w:val="22"/>
          <w:lang w:val="en-US"/>
        </w:rPr>
        <w:t>Kristýna Nettlová, Legal &amp; Transaction Director at Skanska Commercial Development in the Czech Republic</w:t>
      </w:r>
      <w:r w:rsidRPr="007B0DB0">
        <w:rPr>
          <w:sz w:val="22"/>
          <w:szCs w:val="22"/>
          <w:lang w:val="en-US"/>
        </w:rPr>
        <w:t>.</w:t>
      </w:r>
      <w:r w:rsidRPr="007B0DB0">
        <w:rPr>
          <w:sz w:val="22"/>
          <w:szCs w:val="22"/>
        </w:rPr>
        <w:t> </w:t>
      </w:r>
    </w:p>
    <w:p w14:paraId="371E77E9" w14:textId="09ECE454" w:rsidR="00E85FAF" w:rsidRPr="00203BBF" w:rsidRDefault="0C419524" w:rsidP="07AA68B8">
      <w:pPr>
        <w:spacing w:line="257" w:lineRule="auto"/>
        <w:jc w:val="both"/>
        <w:rPr>
          <w:sz w:val="22"/>
          <w:szCs w:val="22"/>
          <w:lang w:val="en-GB"/>
        </w:rPr>
      </w:pPr>
      <w:r w:rsidRPr="00203BBF">
        <w:rPr>
          <w:sz w:val="22"/>
          <w:szCs w:val="22"/>
          <w:lang w:val="en-GB"/>
        </w:rPr>
        <w:t xml:space="preserve">Port7 was built on the site of a former </w:t>
      </w:r>
      <w:r w:rsidR="0022390D" w:rsidRPr="00203BBF">
        <w:rPr>
          <w:sz w:val="22"/>
          <w:szCs w:val="22"/>
          <w:lang w:val="en-GB"/>
        </w:rPr>
        <w:t>abandoned inaccessible factory</w:t>
      </w:r>
      <w:r w:rsidRPr="00203BBF">
        <w:rPr>
          <w:sz w:val="22"/>
          <w:szCs w:val="22"/>
          <w:lang w:val="en-GB"/>
        </w:rPr>
        <w:t xml:space="preserve"> and thanks </w:t>
      </w:r>
      <w:r w:rsidR="00E84F98" w:rsidRPr="00203BBF">
        <w:rPr>
          <w:sz w:val="22"/>
          <w:szCs w:val="22"/>
          <w:lang w:val="en-GB"/>
        </w:rPr>
        <w:t>to</w:t>
      </w:r>
      <w:r w:rsidR="00E873AC" w:rsidRPr="00203BBF">
        <w:rPr>
          <w:sz w:val="22"/>
          <w:szCs w:val="22"/>
          <w:lang w:val="en-GB"/>
        </w:rPr>
        <w:t xml:space="preserve"> the</w:t>
      </w:r>
      <w:r w:rsidR="00E84F98" w:rsidRPr="00203BBF">
        <w:rPr>
          <w:sz w:val="22"/>
          <w:szCs w:val="22"/>
          <w:lang w:val="en-GB"/>
        </w:rPr>
        <w:t xml:space="preserve"> </w:t>
      </w:r>
      <w:r w:rsidR="005A0FFE" w:rsidRPr="00203BBF">
        <w:rPr>
          <w:sz w:val="22"/>
          <w:szCs w:val="22"/>
          <w:lang w:val="en-GB"/>
        </w:rPr>
        <w:t>opening of</w:t>
      </w:r>
      <w:r w:rsidR="00E873AC" w:rsidRPr="00203BBF">
        <w:rPr>
          <w:sz w:val="22"/>
          <w:szCs w:val="22"/>
          <w:lang w:val="en-GB"/>
        </w:rPr>
        <w:t xml:space="preserve"> </w:t>
      </w:r>
      <w:r w:rsidR="0022390D" w:rsidRPr="00203BBF">
        <w:rPr>
          <w:sz w:val="22"/>
          <w:szCs w:val="22"/>
          <w:lang w:val="en-GB"/>
        </w:rPr>
        <w:t>the area to the public</w:t>
      </w:r>
      <w:r w:rsidRPr="00203BBF">
        <w:rPr>
          <w:sz w:val="22"/>
          <w:szCs w:val="22"/>
          <w:lang w:val="en-GB"/>
        </w:rPr>
        <w:t xml:space="preserve">, </w:t>
      </w:r>
      <w:r w:rsidR="0022390D" w:rsidRPr="00203BBF">
        <w:rPr>
          <w:sz w:val="22"/>
          <w:szCs w:val="22"/>
          <w:lang w:val="en-GB"/>
        </w:rPr>
        <w:t>it</w:t>
      </w:r>
      <w:r w:rsidRPr="00203BBF">
        <w:rPr>
          <w:sz w:val="22"/>
          <w:szCs w:val="22"/>
          <w:lang w:val="en-GB"/>
        </w:rPr>
        <w:t xml:space="preserve"> has become</w:t>
      </w:r>
      <w:r w:rsidR="00E873AC" w:rsidRPr="00203BBF">
        <w:rPr>
          <w:sz w:val="22"/>
          <w:szCs w:val="22"/>
          <w:lang w:val="en-GB"/>
        </w:rPr>
        <w:t xml:space="preserve"> a new destination on Prague’s map that offers</w:t>
      </w:r>
      <w:r w:rsidRPr="00203BBF">
        <w:rPr>
          <w:sz w:val="22"/>
          <w:szCs w:val="22"/>
          <w:lang w:val="en-GB"/>
        </w:rPr>
        <w:t xml:space="preserve"> a modern place for work, relaxation, and leisure. </w:t>
      </w:r>
      <w:r w:rsidR="00E85FAF" w:rsidRPr="00203BBF">
        <w:rPr>
          <w:sz w:val="22"/>
          <w:szCs w:val="22"/>
          <w:lang w:val="en-GB"/>
        </w:rPr>
        <w:t xml:space="preserve">The tallest tower has eleven above-ground floors, and the </w:t>
      </w:r>
      <w:r w:rsidR="00E85FAF" w:rsidRPr="00203BBF">
        <w:rPr>
          <w:sz w:val="22"/>
          <w:szCs w:val="22"/>
          <w:lang w:val="en-GB"/>
        </w:rPr>
        <w:lastRenderedPageBreak/>
        <w:t xml:space="preserve">buildings are connected by a shared underground parking with a capacity of 262 spaces. The project also includes a retail promenade and an extensive publicly accessible park.  </w:t>
      </w:r>
    </w:p>
    <w:p w14:paraId="7D4EF76B" w14:textId="1D15F3E1" w:rsidR="0C419524" w:rsidRPr="00203BBF" w:rsidRDefault="0C419524" w:rsidP="00E85FAF">
      <w:pPr>
        <w:spacing w:line="257" w:lineRule="auto"/>
        <w:jc w:val="both"/>
        <w:rPr>
          <w:sz w:val="22"/>
          <w:szCs w:val="22"/>
          <w:lang w:val="en-GB"/>
        </w:rPr>
      </w:pPr>
      <w:r w:rsidRPr="00203BBF">
        <w:rPr>
          <w:sz w:val="22"/>
          <w:szCs w:val="22"/>
          <w:lang w:val="en-GB"/>
        </w:rPr>
        <w:t xml:space="preserve">In addition to top-quality offices, Port7 also offers a wide range of services and leisure activities. The ground floor of the buildings houses </w:t>
      </w:r>
      <w:r w:rsidR="006034E8" w:rsidRPr="00203BBF">
        <w:rPr>
          <w:sz w:val="22"/>
          <w:szCs w:val="22"/>
          <w:lang w:val="en-GB"/>
        </w:rPr>
        <w:t xml:space="preserve">a </w:t>
      </w:r>
      <w:r w:rsidRPr="00203BBF">
        <w:rPr>
          <w:sz w:val="22"/>
          <w:szCs w:val="22"/>
          <w:lang w:val="en-GB"/>
        </w:rPr>
        <w:t>café, restaurant, pharmacy, eye clinic, fitness center, and coworking spaces. The surrounding public space includes a park, community garden, playgrounds</w:t>
      </w:r>
      <w:r w:rsidR="00917B9E" w:rsidRPr="00203BBF">
        <w:rPr>
          <w:sz w:val="22"/>
          <w:szCs w:val="22"/>
          <w:lang w:val="en-GB"/>
        </w:rPr>
        <w:t xml:space="preserve"> and </w:t>
      </w:r>
      <w:r w:rsidRPr="00203BBF">
        <w:rPr>
          <w:sz w:val="22"/>
          <w:szCs w:val="22"/>
          <w:lang w:val="en-GB"/>
        </w:rPr>
        <w:t xml:space="preserve">sports facilities. The </w:t>
      </w:r>
      <w:r w:rsidR="00917B9E" w:rsidRPr="00203BBF">
        <w:rPr>
          <w:sz w:val="22"/>
          <w:szCs w:val="22"/>
          <w:lang w:val="en-GB"/>
        </w:rPr>
        <w:t>riverside</w:t>
      </w:r>
      <w:r w:rsidRPr="00203BBF">
        <w:rPr>
          <w:sz w:val="22"/>
          <w:szCs w:val="22"/>
          <w:lang w:val="en-GB"/>
        </w:rPr>
        <w:t xml:space="preserve"> offers a climbing wall</w:t>
      </w:r>
      <w:r w:rsidR="007F7BBF" w:rsidRPr="00203BBF">
        <w:rPr>
          <w:sz w:val="22"/>
          <w:szCs w:val="22"/>
          <w:lang w:val="en-GB"/>
        </w:rPr>
        <w:t xml:space="preserve"> and a</w:t>
      </w:r>
      <w:r w:rsidRPr="00203BBF">
        <w:rPr>
          <w:sz w:val="22"/>
          <w:szCs w:val="22"/>
          <w:lang w:val="en-GB"/>
        </w:rPr>
        <w:t xml:space="preserve"> barbecue area</w:t>
      </w:r>
      <w:r w:rsidR="007F7BBF" w:rsidRPr="00203BBF">
        <w:rPr>
          <w:sz w:val="22"/>
          <w:szCs w:val="22"/>
          <w:lang w:val="en-GB"/>
        </w:rPr>
        <w:t>.</w:t>
      </w:r>
    </w:p>
    <w:p w14:paraId="323D5F16" w14:textId="5FF01EB2" w:rsidR="0C419524" w:rsidRPr="00203BBF" w:rsidRDefault="0C419524" w:rsidP="07AA68B8">
      <w:pPr>
        <w:spacing w:line="259" w:lineRule="auto"/>
        <w:jc w:val="both"/>
        <w:rPr>
          <w:lang w:val="en-GB"/>
        </w:rPr>
      </w:pPr>
      <w:r w:rsidRPr="00203BBF">
        <w:rPr>
          <w:sz w:val="22"/>
          <w:szCs w:val="22"/>
          <w:lang w:val="en-GB"/>
        </w:rPr>
        <w:t>Port7 is also a cultural center</w:t>
      </w:r>
      <w:r w:rsidR="00742617" w:rsidRPr="00203BBF">
        <w:rPr>
          <w:sz w:val="22"/>
          <w:szCs w:val="22"/>
          <w:lang w:val="en-GB"/>
        </w:rPr>
        <w:t xml:space="preserve"> - </w:t>
      </w:r>
      <w:r w:rsidRPr="00203BBF">
        <w:rPr>
          <w:sz w:val="22"/>
          <w:szCs w:val="22"/>
          <w:lang w:val="en-GB"/>
        </w:rPr>
        <w:t>summer cinema, concerts, yoga classes, and public events regularly attract visitors from all over Prague.</w:t>
      </w:r>
    </w:p>
    <w:p w14:paraId="722834D9" w14:textId="77777777" w:rsidR="009401F7" w:rsidRPr="00203BBF" w:rsidRDefault="009401F7" w:rsidP="009401F7">
      <w:pPr>
        <w:spacing w:line="259" w:lineRule="auto"/>
        <w:jc w:val="both"/>
        <w:rPr>
          <w:sz w:val="22"/>
          <w:szCs w:val="22"/>
          <w:lang w:val="en-GB"/>
        </w:rPr>
      </w:pPr>
      <w:r w:rsidRPr="00203BBF">
        <w:rPr>
          <w:sz w:val="22"/>
          <w:szCs w:val="22"/>
          <w:lang w:val="en-GB"/>
        </w:rPr>
        <w:t>The complex applies circular solutions, including the reuse of elements from a demolished Skanska building, and delivers over 40 percent water savings compared to the LEED baseline. The project achieves zero Scope 2 emissions for electricity by procuring guarantees of origin covering 100 percent of its electricity consumption from renewable sources during both construction and operation, as well as through the installation of on-site photovoltaic panels. Port7 complies with the Nearly Zero Energy Building (NZEB) standard and has received verification of compliance with the EU Taxonomy requirements for economic activity 7.1 (Construction and real estate activities) from a financial institution.</w:t>
      </w:r>
    </w:p>
    <w:p w14:paraId="0B805AF4" w14:textId="2C8BF812" w:rsidR="009401F7" w:rsidRPr="00203BBF" w:rsidRDefault="009401F7" w:rsidP="009401F7">
      <w:pPr>
        <w:spacing w:line="259" w:lineRule="auto"/>
        <w:jc w:val="both"/>
        <w:rPr>
          <w:sz w:val="22"/>
          <w:szCs w:val="22"/>
          <w:lang w:val="en-GB"/>
        </w:rPr>
      </w:pPr>
      <w:r w:rsidRPr="00203BBF">
        <w:rPr>
          <w:sz w:val="22"/>
          <w:szCs w:val="22"/>
          <w:lang w:val="en-GB"/>
        </w:rPr>
        <w:t xml:space="preserve">As part of the project, a circularity study was developed using a 50-year lifecycle approach, </w:t>
      </w:r>
      <w:r w:rsidR="00A06EFA" w:rsidRPr="00203BBF">
        <w:rPr>
          <w:sz w:val="22"/>
          <w:szCs w:val="22"/>
          <w:lang w:val="en-GB"/>
        </w:rPr>
        <w:t>prioritizing</w:t>
      </w:r>
      <w:r w:rsidRPr="00203BBF">
        <w:rPr>
          <w:sz w:val="22"/>
          <w:szCs w:val="22"/>
          <w:lang w:val="en-GB"/>
        </w:rPr>
        <w:t xml:space="preserve"> self-sufficiency, longevity and adherence to circular economy principles. The complex has also received the Access4You certification, an international system that evaluates and verifies the accessibility of buildings and public spaces based on the needs of different user groups.</w:t>
      </w:r>
    </w:p>
    <w:p w14:paraId="00670692" w14:textId="6000239C" w:rsidR="000E7936" w:rsidRPr="007B0DB0" w:rsidRDefault="00AA5223" w:rsidP="7644473C">
      <w:pPr>
        <w:spacing w:line="259" w:lineRule="auto"/>
        <w:jc w:val="both"/>
        <w:rPr>
          <w:sz w:val="22"/>
          <w:szCs w:val="22"/>
          <w:lang w:val="en-GB"/>
        </w:rPr>
      </w:pPr>
      <w:r w:rsidRPr="007B0DB0">
        <w:rPr>
          <w:sz w:val="22"/>
          <w:szCs w:val="22"/>
          <w:lang w:val="en-GB"/>
        </w:rPr>
        <w:t>Advisors to AFI included Clifford Chance, KPMG, CBRE and Grinity.</w:t>
      </w:r>
      <w:r w:rsidR="007B0DB0">
        <w:rPr>
          <w:sz w:val="22"/>
          <w:szCs w:val="22"/>
          <w:lang w:val="en-GB"/>
        </w:rPr>
        <w:t xml:space="preserve"> </w:t>
      </w:r>
      <w:r w:rsidR="000E7936" w:rsidRPr="007B0DB0">
        <w:rPr>
          <w:sz w:val="22"/>
          <w:szCs w:val="22"/>
          <w:lang w:val="en-GB"/>
        </w:rPr>
        <w:t xml:space="preserve">Advisors to Skanska were Savills, iO Partners and Dentons. </w:t>
      </w:r>
    </w:p>
    <w:p w14:paraId="05B0C1DC" w14:textId="77777777" w:rsidR="00AA5223" w:rsidRPr="00203BBF" w:rsidRDefault="00AA5223" w:rsidP="009401F7">
      <w:pPr>
        <w:spacing w:line="259" w:lineRule="auto"/>
        <w:jc w:val="both"/>
        <w:rPr>
          <w:sz w:val="22"/>
          <w:szCs w:val="22"/>
          <w:lang w:val="en-GB"/>
        </w:rPr>
      </w:pPr>
    </w:p>
    <w:p w14:paraId="511D178B" w14:textId="19482A48" w:rsidR="000D192C" w:rsidRPr="00203BBF" w:rsidRDefault="7CF29FCA" w:rsidP="7644473C">
      <w:pPr>
        <w:spacing w:line="259" w:lineRule="auto"/>
        <w:jc w:val="both"/>
        <w:rPr>
          <w:rFonts w:eastAsia="Calibri" w:cs="Calibri"/>
          <w:color w:val="000000" w:themeColor="text1"/>
          <w:lang w:val="en-GB"/>
        </w:rPr>
      </w:pPr>
      <w:r w:rsidRPr="00203BBF">
        <w:rPr>
          <w:noProof/>
          <w:lang w:val="en-GB"/>
        </w:rPr>
        <w:drawing>
          <wp:inline distT="0" distB="0" distL="0" distR="0" wp14:anchorId="6F5C3AA4" wp14:editId="1A0DEA89">
            <wp:extent cx="5724524" cy="76200"/>
            <wp:effectExtent l="0" t="0" r="0" b="0"/>
            <wp:docPr id="1448697168" name="Picture 1448697168" descr="Obrazec Přímá spojni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697168"/>
                    <pic:cNvPicPr/>
                  </pic:nvPicPr>
                  <pic:blipFill>
                    <a:blip r:embed="rId10">
                      <a:extLst>
                        <a:ext uri="{28A0092B-C50C-407E-A947-70E740481C1C}">
                          <a14:useLocalDpi xmlns:a14="http://schemas.microsoft.com/office/drawing/2010/main" val="0"/>
                        </a:ext>
                      </a:extLst>
                    </a:blip>
                    <a:stretch>
                      <a:fillRect/>
                    </a:stretch>
                  </pic:blipFill>
                  <pic:spPr>
                    <a:xfrm>
                      <a:off x="0" y="0"/>
                      <a:ext cx="5724524" cy="76200"/>
                    </a:xfrm>
                    <a:prstGeom prst="rect">
                      <a:avLst/>
                    </a:prstGeom>
                  </pic:spPr>
                </pic:pic>
              </a:graphicData>
            </a:graphic>
          </wp:inline>
        </w:drawing>
      </w:r>
    </w:p>
    <w:p w14:paraId="23B550C2" w14:textId="53D6E3EC" w:rsidR="000D192C" w:rsidRPr="00203BBF" w:rsidRDefault="005E7035" w:rsidP="520EE182">
      <w:pPr>
        <w:spacing w:after="0" w:line="259" w:lineRule="auto"/>
        <w:jc w:val="both"/>
        <w:rPr>
          <w:rFonts w:eastAsia="Calibri" w:cs="Calibri"/>
          <w:color w:val="000000" w:themeColor="text1"/>
          <w:sz w:val="20"/>
          <w:szCs w:val="20"/>
          <w:lang w:val="en-GB"/>
        </w:rPr>
      </w:pPr>
      <w:r w:rsidRPr="00203BBF">
        <w:rPr>
          <w:rFonts w:eastAsia="Calibri" w:cs="Calibri"/>
          <w:b/>
          <w:bCs/>
          <w:color w:val="000000" w:themeColor="text1"/>
          <w:sz w:val="20"/>
          <w:szCs w:val="20"/>
          <w:lang w:val="en-GB"/>
        </w:rPr>
        <w:t>Contact</w:t>
      </w:r>
      <w:r w:rsidR="00824F96" w:rsidRPr="00203BBF">
        <w:rPr>
          <w:rFonts w:eastAsia="Calibri" w:cs="Calibri"/>
          <w:b/>
          <w:bCs/>
          <w:color w:val="000000" w:themeColor="text1"/>
          <w:sz w:val="20"/>
          <w:szCs w:val="20"/>
          <w:lang w:val="en-GB"/>
        </w:rPr>
        <w:t xml:space="preserve"> on behalf of Skanska</w:t>
      </w:r>
      <w:r w:rsidR="0D686B14" w:rsidRPr="00203BBF">
        <w:rPr>
          <w:rFonts w:eastAsia="Calibri" w:cs="Calibri"/>
          <w:b/>
          <w:bCs/>
          <w:color w:val="000000" w:themeColor="text1"/>
          <w:sz w:val="20"/>
          <w:szCs w:val="20"/>
          <w:lang w:val="en-GB"/>
        </w:rPr>
        <w:t>:</w:t>
      </w:r>
      <w:r w:rsidR="0D686B14" w:rsidRPr="00203BBF">
        <w:rPr>
          <w:rFonts w:eastAsia="Calibri" w:cs="Calibri"/>
          <w:color w:val="000000" w:themeColor="text1"/>
          <w:sz w:val="20"/>
          <w:szCs w:val="20"/>
          <w:lang w:val="en-GB"/>
        </w:rPr>
        <w:t> </w:t>
      </w:r>
    </w:p>
    <w:p w14:paraId="159052FC" w14:textId="529ED072"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b/>
          <w:bCs/>
          <w:color w:val="000000" w:themeColor="text1"/>
          <w:sz w:val="20"/>
          <w:szCs w:val="20"/>
          <w:lang w:val="en-GB"/>
        </w:rPr>
        <w:t>Petra Veselá</w:t>
      </w:r>
      <w:r w:rsidRPr="00203BBF">
        <w:rPr>
          <w:rFonts w:eastAsia="Calibri" w:cs="Calibri"/>
          <w:color w:val="000000" w:themeColor="text1"/>
          <w:sz w:val="20"/>
          <w:szCs w:val="20"/>
          <w:lang w:val="en-GB"/>
        </w:rPr>
        <w:t>, Corporate Marketing Manager </w:t>
      </w:r>
    </w:p>
    <w:p w14:paraId="73988986" w14:textId="04F25574"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tel: +420 603 587 928  </w:t>
      </w:r>
    </w:p>
    <w:p w14:paraId="1539D03D" w14:textId="547CF921"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 xml:space="preserve">email: </w:t>
      </w:r>
      <w:hyperlink r:id="rId11">
        <w:r w:rsidRPr="00203BBF">
          <w:rPr>
            <w:rStyle w:val="Hypertextovodkaz"/>
            <w:rFonts w:eastAsia="Calibri" w:cs="Calibri"/>
            <w:color w:val="0563C1"/>
            <w:sz w:val="20"/>
            <w:szCs w:val="20"/>
            <w:lang w:val="en-GB"/>
          </w:rPr>
          <w:t>petra.vesela@skanska.cz</w:t>
        </w:r>
      </w:hyperlink>
      <w:r w:rsidRPr="00203BBF">
        <w:rPr>
          <w:rFonts w:eastAsia="Calibri" w:cs="Calibri"/>
          <w:color w:val="000000" w:themeColor="text1"/>
          <w:sz w:val="20"/>
          <w:szCs w:val="20"/>
          <w:lang w:val="en-GB"/>
        </w:rPr>
        <w:t> </w:t>
      </w:r>
    </w:p>
    <w:p w14:paraId="127ADCDA" w14:textId="283A0A2A"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 </w:t>
      </w:r>
    </w:p>
    <w:p w14:paraId="56BF045B" w14:textId="0347F9E1" w:rsidR="000D192C" w:rsidRPr="00203BBF" w:rsidRDefault="0D686B14" w:rsidP="5FACD233">
      <w:pPr>
        <w:spacing w:after="0" w:line="259" w:lineRule="auto"/>
        <w:jc w:val="both"/>
        <w:rPr>
          <w:rFonts w:eastAsia="Calibri" w:cs="Calibri"/>
          <w:color w:val="000000" w:themeColor="text1"/>
          <w:sz w:val="20"/>
          <w:szCs w:val="20"/>
          <w:lang w:val="en-GB"/>
        </w:rPr>
      </w:pPr>
      <w:r w:rsidRPr="00203BBF">
        <w:rPr>
          <w:rFonts w:eastAsia="Calibri" w:cs="Calibri"/>
          <w:b/>
          <w:bCs/>
          <w:color w:val="000000" w:themeColor="text1"/>
          <w:sz w:val="20"/>
          <w:szCs w:val="20"/>
          <w:lang w:val="en-GB"/>
        </w:rPr>
        <w:t>Klára Pirochová,</w:t>
      </w:r>
      <w:r w:rsidRPr="00203BBF">
        <w:rPr>
          <w:rFonts w:eastAsia="Calibri" w:cs="Calibri"/>
          <w:color w:val="000000" w:themeColor="text1"/>
          <w:sz w:val="20"/>
          <w:szCs w:val="20"/>
          <w:lang w:val="en-GB"/>
        </w:rPr>
        <w:t xml:space="preserve"> Senior PR Consultant  </w:t>
      </w:r>
    </w:p>
    <w:p w14:paraId="7C7A0415" w14:textId="46FBF00E" w:rsidR="000D192C" w:rsidRPr="00203BBF" w:rsidRDefault="0D686B14" w:rsidP="69AB2EF9">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 xml:space="preserve">tel: +420 732 </w:t>
      </w:r>
      <w:r w:rsidR="2ABD5137" w:rsidRPr="00203BBF">
        <w:rPr>
          <w:rFonts w:eastAsia="Calibri" w:cs="Calibri"/>
          <w:color w:val="000000" w:themeColor="text1"/>
          <w:sz w:val="20"/>
          <w:szCs w:val="20"/>
          <w:lang w:val="en-GB"/>
        </w:rPr>
        <w:t>801 881</w:t>
      </w:r>
    </w:p>
    <w:p w14:paraId="6D906E2E" w14:textId="7898B36B" w:rsidR="000D192C" w:rsidRPr="00203BBF" w:rsidRDefault="0D686B14" w:rsidP="5FACD233">
      <w:pPr>
        <w:spacing w:after="0" w:line="259" w:lineRule="auto"/>
        <w:jc w:val="both"/>
        <w:rPr>
          <w:rFonts w:eastAsia="Calibri" w:cs="Calibri"/>
          <w:color w:val="0563C1"/>
          <w:sz w:val="20"/>
          <w:szCs w:val="20"/>
          <w:u w:val="single"/>
          <w:lang w:val="en-GB"/>
        </w:rPr>
      </w:pPr>
      <w:r w:rsidRPr="00203BBF">
        <w:rPr>
          <w:rFonts w:eastAsia="Calibri" w:cs="Calibri"/>
          <w:color w:val="000000" w:themeColor="text1"/>
          <w:sz w:val="20"/>
          <w:szCs w:val="20"/>
          <w:lang w:val="en-GB"/>
        </w:rPr>
        <w:t xml:space="preserve">email: </w:t>
      </w:r>
      <w:hyperlink r:id="rId12" w:history="1">
        <w:r w:rsidR="00824F96" w:rsidRPr="00203BBF">
          <w:rPr>
            <w:rStyle w:val="Hypertextovodkaz"/>
            <w:rFonts w:eastAsia="Calibri" w:cs="Calibri"/>
            <w:sz w:val="20"/>
            <w:szCs w:val="20"/>
            <w:lang w:val="en-GB"/>
          </w:rPr>
          <w:t>klara.pirochova@knktr.cz</w:t>
        </w:r>
      </w:hyperlink>
    </w:p>
    <w:p w14:paraId="744AF718" w14:textId="77777777" w:rsidR="00824F96" w:rsidRPr="00203BBF" w:rsidRDefault="00824F96" w:rsidP="5FACD233">
      <w:pPr>
        <w:spacing w:after="0" w:line="259" w:lineRule="auto"/>
        <w:jc w:val="both"/>
        <w:rPr>
          <w:rFonts w:eastAsia="Calibri" w:cs="Calibri"/>
          <w:color w:val="0563C1"/>
          <w:sz w:val="20"/>
          <w:szCs w:val="20"/>
          <w:u w:val="single"/>
          <w:lang w:val="en-GB"/>
        </w:rPr>
      </w:pPr>
    </w:p>
    <w:p w14:paraId="2D73BBB4" w14:textId="5195FD4F" w:rsidR="00824F96" w:rsidRPr="00203BBF" w:rsidRDefault="00824F96" w:rsidP="00824F96">
      <w:pPr>
        <w:spacing w:after="0" w:line="259" w:lineRule="auto"/>
        <w:jc w:val="both"/>
        <w:rPr>
          <w:rFonts w:eastAsia="Calibri" w:cs="Calibri"/>
          <w:color w:val="000000" w:themeColor="text1"/>
          <w:sz w:val="20"/>
          <w:szCs w:val="20"/>
          <w:lang w:val="en-GB"/>
        </w:rPr>
      </w:pPr>
      <w:r w:rsidRPr="00203BBF">
        <w:rPr>
          <w:rFonts w:eastAsia="Calibri" w:cs="Calibri"/>
          <w:b/>
          <w:bCs/>
          <w:color w:val="000000" w:themeColor="text1"/>
          <w:sz w:val="20"/>
          <w:szCs w:val="20"/>
          <w:lang w:val="en-GB"/>
        </w:rPr>
        <w:t>Contact on behalf of AFI:</w:t>
      </w:r>
      <w:r w:rsidRPr="00203BBF">
        <w:rPr>
          <w:rFonts w:eastAsia="Calibri" w:cs="Calibri"/>
          <w:color w:val="000000" w:themeColor="text1"/>
          <w:sz w:val="20"/>
          <w:szCs w:val="20"/>
          <w:lang w:val="en-GB"/>
        </w:rPr>
        <w:t> </w:t>
      </w:r>
    </w:p>
    <w:p w14:paraId="4BF4B75D" w14:textId="2BBBB410" w:rsidR="00824F96" w:rsidRPr="00203BBF" w:rsidRDefault="00824F96" w:rsidP="00824F96">
      <w:pPr>
        <w:spacing w:after="0" w:line="259" w:lineRule="auto"/>
        <w:jc w:val="both"/>
        <w:rPr>
          <w:rFonts w:eastAsia="Calibri" w:cs="Calibri"/>
          <w:color w:val="000000" w:themeColor="text1"/>
          <w:sz w:val="20"/>
          <w:szCs w:val="20"/>
          <w:lang w:val="en-GB"/>
        </w:rPr>
      </w:pPr>
      <w:r w:rsidRPr="00203BBF">
        <w:rPr>
          <w:rFonts w:eastAsia="Calibri" w:cs="Calibri"/>
          <w:b/>
          <w:bCs/>
          <w:color w:val="000000" w:themeColor="text1"/>
          <w:sz w:val="20"/>
          <w:szCs w:val="20"/>
          <w:lang w:val="en-GB"/>
        </w:rPr>
        <w:t>Denisa Kolaříková</w:t>
      </w:r>
      <w:r w:rsidRPr="00203BBF">
        <w:rPr>
          <w:rFonts w:eastAsia="Calibri" w:cs="Calibri"/>
          <w:color w:val="000000" w:themeColor="text1"/>
          <w:sz w:val="20"/>
          <w:szCs w:val="20"/>
          <w:lang w:val="en-GB"/>
        </w:rPr>
        <w:t>, Account Manager </w:t>
      </w:r>
    </w:p>
    <w:p w14:paraId="062B55DD" w14:textId="311286EC" w:rsidR="00824F96" w:rsidRPr="00203BBF" w:rsidRDefault="00824F96" w:rsidP="00824F96">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tel: +420 731 613 606  </w:t>
      </w:r>
    </w:p>
    <w:p w14:paraId="4789A20D" w14:textId="2E1E8C2A" w:rsidR="00824F96" w:rsidRPr="00203BBF" w:rsidRDefault="00824F96" w:rsidP="00824F96">
      <w:pPr>
        <w:spacing w:after="0" w:line="259" w:lineRule="auto"/>
        <w:jc w:val="both"/>
        <w:rPr>
          <w:rFonts w:eastAsia="Calibri" w:cs="Calibri"/>
          <w:color w:val="000000" w:themeColor="text1"/>
          <w:sz w:val="20"/>
          <w:szCs w:val="20"/>
          <w:lang w:val="en-GB"/>
        </w:rPr>
      </w:pPr>
      <w:r w:rsidRPr="00203BBF">
        <w:rPr>
          <w:rFonts w:eastAsia="Calibri" w:cs="Calibri"/>
          <w:color w:val="000000" w:themeColor="text1"/>
          <w:sz w:val="20"/>
          <w:szCs w:val="20"/>
          <w:lang w:val="en-GB"/>
        </w:rPr>
        <w:t xml:space="preserve">email: </w:t>
      </w:r>
      <w:hyperlink r:id="rId13">
        <w:r w:rsidRPr="00203BBF">
          <w:rPr>
            <w:rStyle w:val="Hypertextovodkaz"/>
            <w:rFonts w:eastAsia="Calibri" w:cs="Calibri"/>
            <w:color w:val="0563C1"/>
            <w:sz w:val="20"/>
            <w:szCs w:val="20"/>
            <w:lang w:val="en-GB"/>
          </w:rPr>
          <w:t>denisa.kolarikova@crestcom.cz</w:t>
        </w:r>
      </w:hyperlink>
      <w:r w:rsidRPr="00203BBF">
        <w:rPr>
          <w:rFonts w:eastAsia="Calibri" w:cs="Calibri"/>
          <w:color w:val="000000" w:themeColor="text1"/>
          <w:sz w:val="20"/>
          <w:szCs w:val="20"/>
          <w:lang w:val="en-GB"/>
        </w:rPr>
        <w:t> </w:t>
      </w:r>
    </w:p>
    <w:p w14:paraId="63B8A2AC" w14:textId="77777777" w:rsidR="00824F96" w:rsidRPr="00203BBF" w:rsidRDefault="00824F96" w:rsidP="520EE182">
      <w:pPr>
        <w:spacing w:after="0" w:line="259" w:lineRule="auto"/>
        <w:jc w:val="both"/>
        <w:rPr>
          <w:rFonts w:eastAsia="Calibri" w:cs="Calibri"/>
          <w:color w:val="000000" w:themeColor="text1"/>
          <w:sz w:val="20"/>
          <w:szCs w:val="20"/>
          <w:lang w:val="en-GB"/>
        </w:rPr>
      </w:pPr>
    </w:p>
    <w:p w14:paraId="2618943E" w14:textId="77777777" w:rsidR="005E7035" w:rsidRPr="00203BBF" w:rsidRDefault="005E7035" w:rsidP="005E7035">
      <w:pPr>
        <w:spacing w:after="0" w:line="259" w:lineRule="auto"/>
        <w:jc w:val="both"/>
        <w:rPr>
          <w:rFonts w:eastAsia="Calibri" w:cs="Calibri"/>
          <w:b/>
          <w:bCs/>
          <w:i/>
          <w:iCs/>
          <w:color w:val="000000" w:themeColor="text1"/>
          <w:sz w:val="20"/>
          <w:szCs w:val="20"/>
          <w:lang w:val="en-GB"/>
        </w:rPr>
      </w:pPr>
      <w:r w:rsidRPr="00203BBF">
        <w:rPr>
          <w:rFonts w:eastAsia="Calibri" w:cs="Calibri"/>
          <w:b/>
          <w:bCs/>
          <w:i/>
          <w:iCs/>
          <w:color w:val="000000" w:themeColor="text1"/>
          <w:sz w:val="20"/>
          <w:szCs w:val="20"/>
          <w:lang w:val="en-GB"/>
        </w:rPr>
        <w:t xml:space="preserve">Skanska, commercial development unit in the Czech Republic </w:t>
      </w:r>
    </w:p>
    <w:p w14:paraId="17FBE598" w14:textId="77777777" w:rsidR="005E7035" w:rsidRPr="00203BBF" w:rsidRDefault="005E7035" w:rsidP="005E7035">
      <w:pPr>
        <w:spacing w:after="0" w:line="259" w:lineRule="auto"/>
        <w:jc w:val="both"/>
        <w:rPr>
          <w:rFonts w:eastAsia="Calibri" w:cs="Calibri"/>
          <w:i/>
          <w:iCs/>
          <w:color w:val="000000" w:themeColor="text1"/>
          <w:sz w:val="20"/>
          <w:szCs w:val="20"/>
          <w:lang w:val="en-GB"/>
        </w:rPr>
      </w:pPr>
      <w:r w:rsidRPr="00203BBF">
        <w:rPr>
          <w:rFonts w:eastAsia="Calibri" w:cs="Calibri"/>
          <w:i/>
          <w:iCs/>
          <w:color w:val="000000" w:themeColor="text1"/>
          <w:sz w:val="20"/>
          <w:szCs w:val="20"/>
          <w:lang w:val="en-GB"/>
        </w:rPr>
        <w:t xml:space="preserve">Skanska's commercial development unit in the Czech Republic is dedicated to building innovative and timeless office projects with an emphasis on sustainability. The company has been operating in the Czech market for 25 years and has completed a number of projects here, including the Parkview building, which it </w:t>
      </w:r>
      <w:r w:rsidRPr="00203BBF">
        <w:rPr>
          <w:rFonts w:eastAsia="Calibri" w:cs="Calibri"/>
          <w:i/>
          <w:iCs/>
          <w:color w:val="000000" w:themeColor="text1"/>
          <w:sz w:val="20"/>
          <w:szCs w:val="20"/>
          <w:lang w:val="en-GB"/>
        </w:rPr>
        <w:lastRenderedPageBreak/>
        <w:t xml:space="preserve">sold for more than CZK 2 billion in 2021. It is currently working on a number of new projects in Prague's Holešovice, Pankrác and Radlicka, where it aims to build the first carbon-neutral office building in Central Europe. With his projects he is aiming for the highest possible LEED, WELL Core &amp; Shell, and WELL Health-Safety Rating. It is part of Skanska's commercial development unit for Central and Eastern Europe, which also operates in Poland, Hungary and Romania. In 2021, it sold commercial buildings for more than EUR 362 million (over CZK 9 billion) and leased 55,137 sqm of office space. </w:t>
      </w:r>
    </w:p>
    <w:p w14:paraId="35A3AE3E" w14:textId="77777777" w:rsidR="005E7035" w:rsidRPr="00203BBF" w:rsidRDefault="005E7035" w:rsidP="005E7035">
      <w:pPr>
        <w:spacing w:after="0" w:line="259" w:lineRule="auto"/>
        <w:jc w:val="both"/>
        <w:rPr>
          <w:rFonts w:eastAsia="Calibri" w:cs="Calibri"/>
          <w:b/>
          <w:bCs/>
          <w:i/>
          <w:iCs/>
          <w:color w:val="000000" w:themeColor="text1"/>
          <w:sz w:val="20"/>
          <w:szCs w:val="20"/>
          <w:lang w:val="en-GB"/>
        </w:rPr>
      </w:pPr>
    </w:p>
    <w:p w14:paraId="12354895" w14:textId="5CB8837F"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i/>
          <w:iCs/>
          <w:color w:val="000000" w:themeColor="text1"/>
          <w:sz w:val="20"/>
          <w:szCs w:val="20"/>
          <w:lang w:val="en-GB"/>
        </w:rPr>
        <w:t xml:space="preserve">LinkedIn: </w:t>
      </w:r>
      <w:hyperlink r:id="rId14">
        <w:r w:rsidRPr="00203BBF">
          <w:rPr>
            <w:rStyle w:val="Hypertextovodkaz"/>
            <w:rFonts w:eastAsia="Calibri" w:cs="Calibri"/>
            <w:i/>
            <w:iCs/>
            <w:color w:val="0563C1"/>
            <w:sz w:val="20"/>
            <w:szCs w:val="20"/>
            <w:lang w:val="en-GB"/>
          </w:rPr>
          <w:t>https://www.linkedin.com/company/skanska/?originalSubdomain=cz</w:t>
        </w:r>
      </w:hyperlink>
      <w:r w:rsidRPr="00203BBF">
        <w:rPr>
          <w:rFonts w:eastAsia="Calibri" w:cs="Calibri"/>
          <w:color w:val="000000" w:themeColor="text1"/>
          <w:sz w:val="20"/>
          <w:szCs w:val="20"/>
          <w:lang w:val="en-GB"/>
        </w:rPr>
        <w:t> </w:t>
      </w:r>
    </w:p>
    <w:p w14:paraId="0C101905" w14:textId="6D144348" w:rsidR="000D192C" w:rsidRPr="00203BBF" w:rsidRDefault="0D686B14" w:rsidP="520EE182">
      <w:pPr>
        <w:spacing w:after="0" w:line="259" w:lineRule="auto"/>
        <w:jc w:val="both"/>
        <w:rPr>
          <w:rFonts w:eastAsia="Calibri" w:cs="Calibri"/>
          <w:color w:val="000000" w:themeColor="text1"/>
          <w:sz w:val="20"/>
          <w:szCs w:val="20"/>
          <w:lang w:val="en-GB"/>
        </w:rPr>
      </w:pPr>
      <w:r w:rsidRPr="00203BBF">
        <w:rPr>
          <w:rFonts w:eastAsia="Calibri" w:cs="Calibri"/>
          <w:i/>
          <w:iCs/>
          <w:color w:val="000000" w:themeColor="text1"/>
          <w:sz w:val="20"/>
          <w:szCs w:val="20"/>
          <w:lang w:val="en-GB"/>
        </w:rPr>
        <w:t xml:space="preserve">Facebook: </w:t>
      </w:r>
      <w:hyperlink r:id="rId15">
        <w:r w:rsidRPr="00203BBF">
          <w:rPr>
            <w:rStyle w:val="Hypertextovodkaz"/>
            <w:rFonts w:eastAsia="Calibri" w:cs="Calibri"/>
            <w:i/>
            <w:iCs/>
            <w:color w:val="0563C1"/>
            <w:sz w:val="20"/>
            <w:szCs w:val="20"/>
            <w:lang w:val="en-GB"/>
          </w:rPr>
          <w:t>https://www.facebook.com/Skanska.v.CR.a.SR/</w:t>
        </w:r>
      </w:hyperlink>
      <w:r w:rsidRPr="00203BBF">
        <w:rPr>
          <w:rFonts w:eastAsia="Calibri" w:cs="Calibri"/>
          <w:color w:val="000000" w:themeColor="text1"/>
          <w:sz w:val="20"/>
          <w:szCs w:val="20"/>
          <w:lang w:val="en-GB"/>
        </w:rPr>
        <w:t> </w:t>
      </w:r>
    </w:p>
    <w:p w14:paraId="634B2633" w14:textId="48C35615" w:rsidR="000D192C" w:rsidRPr="00203BBF" w:rsidRDefault="005E7035" w:rsidP="520EE182">
      <w:pPr>
        <w:spacing w:after="0" w:line="259" w:lineRule="auto"/>
        <w:jc w:val="both"/>
        <w:rPr>
          <w:rFonts w:eastAsia="Calibri" w:cs="Calibri"/>
          <w:color w:val="000000" w:themeColor="text1"/>
          <w:sz w:val="20"/>
          <w:szCs w:val="20"/>
          <w:lang w:val="en-GB"/>
        </w:rPr>
      </w:pPr>
      <w:r w:rsidRPr="00203BBF">
        <w:rPr>
          <w:rFonts w:eastAsia="Calibri" w:cs="Calibri"/>
          <w:i/>
          <w:iCs/>
          <w:color w:val="000000" w:themeColor="text1"/>
          <w:sz w:val="20"/>
          <w:szCs w:val="20"/>
          <w:lang w:val="en-GB"/>
        </w:rPr>
        <w:t>More information</w:t>
      </w:r>
      <w:r w:rsidR="0D686B14" w:rsidRPr="00203BBF">
        <w:rPr>
          <w:rFonts w:eastAsia="Calibri" w:cs="Calibri"/>
          <w:i/>
          <w:iCs/>
          <w:color w:val="000000" w:themeColor="text1"/>
          <w:sz w:val="20"/>
          <w:szCs w:val="20"/>
          <w:lang w:val="en-GB"/>
        </w:rPr>
        <w:t xml:space="preserve">: </w:t>
      </w:r>
      <w:hyperlink r:id="rId16">
        <w:r w:rsidR="0D686B14" w:rsidRPr="00203BBF">
          <w:rPr>
            <w:rStyle w:val="Hypertextovodkaz"/>
            <w:rFonts w:eastAsia="Calibri" w:cs="Calibri"/>
            <w:i/>
            <w:iCs/>
            <w:sz w:val="20"/>
            <w:szCs w:val="20"/>
            <w:lang w:val="en-GB"/>
          </w:rPr>
          <w:t>https://www.skanska.cz/co-delame/development/komercni-development/</w:t>
        </w:r>
        <w:r w:rsidR="0D686B14" w:rsidRPr="00203BBF">
          <w:rPr>
            <w:rStyle w:val="Hypertextovodkaz"/>
            <w:rFonts w:eastAsia="Calibri" w:cs="Calibri"/>
            <w:sz w:val="20"/>
            <w:szCs w:val="20"/>
            <w:lang w:val="en-GB"/>
          </w:rPr>
          <w:t> </w:t>
        </w:r>
      </w:hyperlink>
    </w:p>
    <w:p w14:paraId="77D312C3" w14:textId="77777777" w:rsidR="00D56E51" w:rsidRPr="00203BBF" w:rsidRDefault="00824F96" w:rsidP="00D56E51">
      <w:pPr>
        <w:spacing w:after="0" w:line="240" w:lineRule="auto"/>
        <w:contextualSpacing/>
        <w:jc w:val="both"/>
        <w:rPr>
          <w:rFonts w:eastAsia="Cambria" w:cs="Calibri"/>
          <w:i/>
          <w:iCs/>
          <w:sz w:val="20"/>
          <w:szCs w:val="20"/>
          <w:lang w:val="en-GB"/>
        </w:rPr>
      </w:pPr>
      <w:r w:rsidRPr="00203BBF">
        <w:rPr>
          <w:rFonts w:eastAsia="Cambria" w:cs="Cambria"/>
          <w:sz w:val="22"/>
          <w:szCs w:val="22"/>
          <w:lang w:val="en-GB"/>
        </w:rPr>
        <w:br/>
      </w:r>
      <w:r w:rsidR="00D56E51" w:rsidRPr="00203BBF">
        <w:rPr>
          <w:rFonts w:eastAsia="Cambria" w:cs="Calibri"/>
          <w:b/>
          <w:bCs/>
          <w:i/>
          <w:iCs/>
          <w:sz w:val="20"/>
          <w:szCs w:val="20"/>
          <w:lang w:val="en-GB"/>
        </w:rPr>
        <w:t>AFI Group</w:t>
      </w:r>
      <w:r w:rsidR="00D56E51" w:rsidRPr="00203BBF">
        <w:rPr>
          <w:rFonts w:eastAsia="Cambria" w:cs="Calibri"/>
          <w:i/>
          <w:iCs/>
          <w:sz w:val="20"/>
          <w:szCs w:val="20"/>
          <w:lang w:val="en-GB"/>
        </w:rPr>
        <w:t>, listed on TLV stock exchange specialize in commercial and residential properties, in Israel and Central and Eastern Europe (CEE). It has been operating in the Czech Republic since 1997 and has completed a number of significant projects during that time. AFI Group currently manages a portfolio of income-producing properties of 1,4 million sqm, with a total market value of approximately EUR 4.6 billion (as of September 30, 2025).</w:t>
      </w:r>
    </w:p>
    <w:p w14:paraId="566E81E4" w14:textId="77777777" w:rsidR="00D56E51" w:rsidRPr="00203BBF" w:rsidRDefault="00D56E51" w:rsidP="00D56E51">
      <w:pPr>
        <w:spacing w:after="0" w:line="240" w:lineRule="auto"/>
        <w:contextualSpacing/>
        <w:jc w:val="both"/>
        <w:rPr>
          <w:rFonts w:eastAsia="Cambria" w:cs="Calibri"/>
          <w:i/>
          <w:iCs/>
          <w:sz w:val="20"/>
          <w:szCs w:val="20"/>
          <w:lang w:val="en-GB"/>
        </w:rPr>
      </w:pPr>
    </w:p>
    <w:p w14:paraId="548AF088" w14:textId="563BCD68" w:rsidR="009B0987" w:rsidRPr="00203BBF" w:rsidRDefault="00750707" w:rsidP="009B0987">
      <w:pPr>
        <w:spacing w:after="200" w:line="276" w:lineRule="auto"/>
        <w:jc w:val="both"/>
        <w:rPr>
          <w:rFonts w:eastAsia="Cambria" w:cs="Calibri"/>
          <w:i/>
          <w:iCs/>
          <w:sz w:val="20"/>
          <w:szCs w:val="20"/>
          <w:lang w:val="en-GB"/>
        </w:rPr>
      </w:pPr>
      <w:r w:rsidRPr="00750707">
        <w:rPr>
          <w:rFonts w:eastAsia="Cambria" w:cs="Calibri"/>
          <w:b/>
          <w:bCs/>
          <w:i/>
          <w:iCs/>
          <w:sz w:val="20"/>
          <w:szCs w:val="20"/>
          <w:lang w:val="en-GB"/>
        </w:rPr>
        <w:t xml:space="preserve">AFI Czech Republic </w:t>
      </w:r>
      <w:r w:rsidRPr="00750707">
        <w:rPr>
          <w:rFonts w:eastAsia="Cambria" w:cs="Calibri"/>
          <w:i/>
          <w:iCs/>
          <w:sz w:val="20"/>
          <w:szCs w:val="20"/>
          <w:lang w:val="en-GB"/>
        </w:rPr>
        <w:t>currently manages a portfolio of nine assets spanning office properties and the AFI Home rental housing platform. Office assets include, among others, AFI Karlín, AFI Vokovice and, notably, the AFI City 1 tower, which houses AFI’s Czech headquarters. Within AFI Home, projects are located in three Prague districts – Karlín, Třebešín and Kolbenova – with two additional developments currently under construction</w:t>
      </w:r>
      <w:r w:rsidR="009B0987" w:rsidRPr="00750707">
        <w:rPr>
          <w:rFonts w:eastAsia="Cambria" w:cs="Calibri"/>
          <w:i/>
          <w:iCs/>
          <w:sz w:val="20"/>
          <w:szCs w:val="20"/>
          <w:lang w:val="en-GB"/>
        </w:rPr>
        <w:t>.</w:t>
      </w:r>
    </w:p>
    <w:p w14:paraId="4DB3A9C7" w14:textId="5CEE8985" w:rsidR="009B0987" w:rsidRPr="00203BBF" w:rsidRDefault="009B0987" w:rsidP="00203BBF">
      <w:pPr>
        <w:spacing w:after="0" w:line="240" w:lineRule="auto"/>
        <w:contextualSpacing/>
        <w:jc w:val="both"/>
        <w:rPr>
          <w:rFonts w:eastAsia="Cambria" w:cs="Calibri"/>
          <w:i/>
          <w:iCs/>
          <w:sz w:val="20"/>
          <w:szCs w:val="20"/>
          <w:lang w:val="en-GB"/>
        </w:rPr>
      </w:pPr>
      <w:r w:rsidRPr="00203BBF">
        <w:rPr>
          <w:rFonts w:eastAsia="Cambria" w:cs="Calibri"/>
          <w:i/>
          <w:iCs/>
          <w:sz w:val="20"/>
          <w:szCs w:val="20"/>
          <w:lang w:val="en-GB"/>
        </w:rPr>
        <w:t xml:space="preserve">LinkedIn: </w:t>
      </w:r>
      <w:hyperlink r:id="rId17" w:history="1">
        <w:r w:rsidRPr="00203BBF">
          <w:rPr>
            <w:rStyle w:val="Hypertextovodkaz"/>
            <w:rFonts w:eastAsia="Cambria" w:cs="Calibri"/>
            <w:i/>
            <w:iCs/>
            <w:sz w:val="20"/>
            <w:szCs w:val="20"/>
            <w:lang w:val="en-GB"/>
          </w:rPr>
          <w:t>https://cz.linkedin.com/company/afi-czech-republic</w:t>
        </w:r>
      </w:hyperlink>
    </w:p>
    <w:p w14:paraId="6331860B" w14:textId="39368217" w:rsidR="00824F96" w:rsidRPr="00203BBF" w:rsidRDefault="009B0987" w:rsidP="00203BBF">
      <w:pPr>
        <w:spacing w:after="0" w:line="240" w:lineRule="auto"/>
        <w:contextualSpacing/>
        <w:jc w:val="both"/>
        <w:rPr>
          <w:rFonts w:eastAsia="Cambria" w:cs="Calibri"/>
          <w:i/>
          <w:iCs/>
          <w:sz w:val="20"/>
          <w:szCs w:val="20"/>
          <w:lang w:val="en-GB"/>
        </w:rPr>
      </w:pPr>
      <w:r w:rsidRPr="00203BBF">
        <w:rPr>
          <w:rFonts w:eastAsia="Cambria" w:cs="Calibri"/>
          <w:i/>
          <w:iCs/>
          <w:sz w:val="20"/>
          <w:szCs w:val="20"/>
          <w:lang w:val="en-GB"/>
        </w:rPr>
        <w:t xml:space="preserve">More information: </w:t>
      </w:r>
      <w:hyperlink r:id="rId18" w:history="1">
        <w:r w:rsidR="00824F96" w:rsidRPr="00203BBF">
          <w:rPr>
            <w:rStyle w:val="Hypertextovodkaz"/>
            <w:rFonts w:eastAsia="Cambria" w:cs="Calibri"/>
            <w:i/>
            <w:iCs/>
            <w:sz w:val="20"/>
            <w:szCs w:val="20"/>
            <w:lang w:val="en-GB"/>
          </w:rPr>
          <w:t>https://www.afi-europe.cz/</w:t>
        </w:r>
      </w:hyperlink>
    </w:p>
    <w:p w14:paraId="075E9EEA" w14:textId="6C20BC47" w:rsidR="000D192C" w:rsidRPr="00203BBF" w:rsidRDefault="000D192C" w:rsidP="00824F96">
      <w:pPr>
        <w:rPr>
          <w:lang w:val="en-GB"/>
        </w:rPr>
      </w:pPr>
    </w:p>
    <w:sectPr w:rsidR="000D192C" w:rsidRPr="00203BBF">
      <w:headerReference w:type="even" r:id="rId19"/>
      <w:headerReference w:type="default" r:id="rId20"/>
      <w:foot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A003" w14:textId="77777777" w:rsidR="00B02401" w:rsidRDefault="00B02401" w:rsidP="00517E27">
      <w:pPr>
        <w:spacing w:after="0" w:line="240" w:lineRule="auto"/>
      </w:pPr>
      <w:r>
        <w:separator/>
      </w:r>
    </w:p>
  </w:endnote>
  <w:endnote w:type="continuationSeparator" w:id="0">
    <w:p w14:paraId="698EC8AF" w14:textId="77777777" w:rsidR="00B02401" w:rsidRDefault="00B02401" w:rsidP="00517E27">
      <w:pPr>
        <w:spacing w:after="0" w:line="240" w:lineRule="auto"/>
      </w:pPr>
      <w:r>
        <w:continuationSeparator/>
      </w:r>
    </w:p>
  </w:endnote>
  <w:endnote w:type="continuationNotice" w:id="1">
    <w:p w14:paraId="4C22324B" w14:textId="77777777" w:rsidR="00B02401" w:rsidRDefault="00B02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188F0A" w14:paraId="4F4FE501" w14:textId="77777777" w:rsidTr="75188F0A">
      <w:trPr>
        <w:trHeight w:val="300"/>
      </w:trPr>
      <w:tc>
        <w:tcPr>
          <w:tcW w:w="3020" w:type="dxa"/>
        </w:tcPr>
        <w:p w14:paraId="2B77D195" w14:textId="1D830DF4" w:rsidR="75188F0A" w:rsidRDefault="75188F0A" w:rsidP="75188F0A">
          <w:pPr>
            <w:pStyle w:val="Zhlav"/>
            <w:ind w:left="-115"/>
          </w:pPr>
        </w:p>
      </w:tc>
      <w:tc>
        <w:tcPr>
          <w:tcW w:w="3020" w:type="dxa"/>
        </w:tcPr>
        <w:p w14:paraId="55127115" w14:textId="651D2AE4" w:rsidR="75188F0A" w:rsidRDefault="75188F0A" w:rsidP="75188F0A">
          <w:pPr>
            <w:pStyle w:val="Zhlav"/>
            <w:jc w:val="center"/>
          </w:pPr>
        </w:p>
      </w:tc>
      <w:tc>
        <w:tcPr>
          <w:tcW w:w="3020" w:type="dxa"/>
        </w:tcPr>
        <w:p w14:paraId="08DA15A5" w14:textId="1DC72256" w:rsidR="75188F0A" w:rsidRDefault="75188F0A" w:rsidP="75188F0A">
          <w:pPr>
            <w:pStyle w:val="Zhlav"/>
            <w:ind w:right="-115"/>
            <w:jc w:val="right"/>
          </w:pPr>
        </w:p>
      </w:tc>
    </w:tr>
  </w:tbl>
  <w:p w14:paraId="6A6BC0BE" w14:textId="1FCEC6BB" w:rsidR="75188F0A" w:rsidRDefault="75188F0A" w:rsidP="75188F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4F9A" w14:textId="77777777" w:rsidR="00B02401" w:rsidRDefault="00B02401" w:rsidP="00517E27">
      <w:pPr>
        <w:spacing w:after="0" w:line="240" w:lineRule="auto"/>
      </w:pPr>
      <w:r>
        <w:separator/>
      </w:r>
    </w:p>
  </w:footnote>
  <w:footnote w:type="continuationSeparator" w:id="0">
    <w:p w14:paraId="02141A10" w14:textId="77777777" w:rsidR="00B02401" w:rsidRDefault="00B02401" w:rsidP="00517E27">
      <w:pPr>
        <w:spacing w:after="0" w:line="240" w:lineRule="auto"/>
      </w:pPr>
      <w:r>
        <w:continuationSeparator/>
      </w:r>
    </w:p>
  </w:footnote>
  <w:footnote w:type="continuationNotice" w:id="1">
    <w:p w14:paraId="0D5B3B04" w14:textId="77777777" w:rsidR="00B02401" w:rsidRDefault="00B02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DB4E" w14:textId="3DF08E93" w:rsidR="00431957" w:rsidRDefault="00431957">
    <w:pPr>
      <w:pStyle w:val="Zhlav"/>
    </w:pPr>
    <w:r>
      <w:rPr>
        <w:noProof/>
      </w:rPr>
      <mc:AlternateContent>
        <mc:Choice Requires="wps">
          <w:drawing>
            <wp:anchor distT="0" distB="0" distL="0" distR="0" simplePos="0" relativeHeight="251658242" behindDoc="0" locked="0" layoutInCell="1" allowOverlap="1" wp14:anchorId="509A7EA9" wp14:editId="37BCBB8D">
              <wp:simplePos x="635" y="635"/>
              <wp:positionH relativeFrom="page">
                <wp:align>center</wp:align>
              </wp:positionH>
              <wp:positionV relativeFrom="page">
                <wp:align>top</wp:align>
              </wp:positionV>
              <wp:extent cx="326390" cy="334645"/>
              <wp:effectExtent l="0" t="0" r="16510" b="8255"/>
              <wp:wrapNone/>
              <wp:docPr id="1975825695" name="Textové pole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34645"/>
                      </a:xfrm>
                      <a:prstGeom prst="rect">
                        <a:avLst/>
                      </a:prstGeom>
                      <a:noFill/>
                      <a:ln>
                        <a:noFill/>
                      </a:ln>
                    </wps:spPr>
                    <wps:txbx>
                      <w:txbxContent>
                        <w:p w14:paraId="0CF703E3" w14:textId="7B5CE3EB" w:rsidR="00431957" w:rsidRPr="00431957" w:rsidRDefault="00431957" w:rsidP="00431957">
                          <w:pPr>
                            <w:spacing w:after="0"/>
                            <w:rPr>
                              <w:rFonts w:ascii="Calibri" w:eastAsia="Calibri" w:hAnsi="Calibri" w:cs="Calibri"/>
                              <w:noProof/>
                              <w:color w:val="000000"/>
                              <w:sz w:val="16"/>
                              <w:szCs w:val="16"/>
                            </w:rPr>
                          </w:pPr>
                          <w:r w:rsidRPr="00431957">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A7EA9" id="_x0000_t202" coordsize="21600,21600" o:spt="202" path="m,l,21600r21600,l21600,xe">
              <v:stroke joinstyle="miter"/>
              <v:path gradientshapeok="t" o:connecttype="rect"/>
            </v:shapetype>
            <v:shape id="Textové pole 2" o:spid="_x0000_s1026" type="#_x0000_t202" alt="General" style="position:absolute;margin-left:0;margin-top:0;width:25.7pt;height:26.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" filled="f" stroked="f">
              <v:textbox style="mso-fit-shape-to-text:t" inset="0,15pt,0,0">
                <w:txbxContent>
                  <w:p w14:paraId="0CF703E3" w14:textId="7B5CE3EB" w:rsidR="00431957" w:rsidRPr="00431957" w:rsidRDefault="00431957" w:rsidP="00431957">
                    <w:pPr>
                      <w:spacing w:after="0"/>
                      <w:rPr>
                        <w:rFonts w:ascii="Calibri" w:eastAsia="Calibri" w:hAnsi="Calibri" w:cs="Calibri"/>
                        <w:noProof/>
                        <w:color w:val="000000"/>
                        <w:sz w:val="16"/>
                        <w:szCs w:val="16"/>
                      </w:rPr>
                    </w:pPr>
                    <w:r w:rsidRPr="00431957">
                      <w:rPr>
                        <w:rFonts w:ascii="Calibri" w:eastAsia="Calibri" w:hAnsi="Calibri" w:cs="Calibri"/>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DD4B" w14:textId="65CBF477" w:rsidR="00A274F4" w:rsidRDefault="008243D4" w:rsidP="00203BBF">
    <w:pPr>
      <w:pStyle w:val="Zhlav"/>
      <w:tabs>
        <w:tab w:val="clear" w:pos="9072"/>
        <w:tab w:val="right" w:pos="9046"/>
      </w:tabs>
      <w:jc w:val="right"/>
      <w:rPr>
        <w:sz w:val="32"/>
        <w:szCs w:val="32"/>
      </w:rPr>
    </w:pPr>
    <w:r>
      <w:rPr>
        <w:noProof/>
        <w14:ligatures w14:val="standardContextual"/>
      </w:rPr>
      <w:drawing>
        <wp:inline distT="0" distB="0" distL="0" distR="0" wp14:anchorId="5C6E6700" wp14:editId="08601EF6">
          <wp:extent cx="701040" cy="373380"/>
          <wp:effectExtent l="0" t="0" r="3810" b="7620"/>
          <wp:docPr id="212480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0781" name=""/>
                  <pic:cNvPicPr/>
                </pic:nvPicPr>
                <pic:blipFill rotWithShape="1">
                  <a:blip r:embed="rId1">
                    <a:extLst>
                      <a:ext uri="{96DAC541-7B7A-43D3-8B79-37D633B846F1}">
                        <asvg:svgBlip xmlns:asvg="http://schemas.microsoft.com/office/drawing/2016/SVG/main" r:embed="rId2"/>
                      </a:ext>
                    </a:extLst>
                  </a:blip>
                  <a:srcRect l="83253" t="21777" r="2855" b="9368"/>
                  <a:stretch>
                    <a:fillRect/>
                  </a:stretch>
                </pic:blipFill>
                <pic:spPr bwMode="auto">
                  <a:xfrm>
                    <a:off x="0" y="0"/>
                    <a:ext cx="701612" cy="373685"/>
                  </a:xfrm>
                  <a:prstGeom prst="rect">
                    <a:avLst/>
                  </a:prstGeom>
                  <a:ln>
                    <a:noFill/>
                  </a:ln>
                  <a:extLst>
                    <a:ext uri="{53640926-AAD7-44D8-BBD7-CCE9431645EC}">
                      <a14:shadowObscured xmlns:a14="http://schemas.microsoft.com/office/drawing/2010/main"/>
                    </a:ext>
                  </a:extLst>
                </pic:spPr>
              </pic:pic>
            </a:graphicData>
          </a:graphic>
        </wp:inline>
      </w:drawing>
    </w:r>
    <w:r w:rsidR="00A274F4">
      <w:rPr>
        <w:noProof/>
      </w:rPr>
      <w:drawing>
        <wp:anchor distT="152400" distB="152400" distL="152400" distR="152400" simplePos="0" relativeHeight="251658240" behindDoc="1" locked="0" layoutInCell="1" allowOverlap="1" wp14:anchorId="069450BD" wp14:editId="02EA0DF9">
          <wp:simplePos x="0" y="0"/>
          <wp:positionH relativeFrom="page">
            <wp:posOffset>5768340</wp:posOffset>
          </wp:positionH>
          <wp:positionV relativeFrom="page">
            <wp:posOffset>311784</wp:posOffset>
          </wp:positionV>
          <wp:extent cx="899795" cy="132715"/>
          <wp:effectExtent l="0" t="0" r="0" b="0"/>
          <wp:wrapNone/>
          <wp:docPr id="1073741825" name="officeArt object" descr="Obrázek 16"/>
          <wp:cNvGraphicFramePr/>
          <a:graphic xmlns:a="http://schemas.openxmlformats.org/drawingml/2006/main">
            <a:graphicData uri="http://schemas.openxmlformats.org/drawingml/2006/picture">
              <pic:pic xmlns:pic="http://schemas.openxmlformats.org/drawingml/2006/picture">
                <pic:nvPicPr>
                  <pic:cNvPr id="1073741825" name="Obrázek 16" descr="Obrázek 16"/>
                  <pic:cNvPicPr>
                    <a:picLocks noChangeAspect="1"/>
                  </pic:cNvPicPr>
                </pic:nvPicPr>
                <pic:blipFill>
                  <a:blip r:embed="rId3"/>
                  <a:stretch>
                    <a:fillRect/>
                  </a:stretch>
                </pic:blipFill>
                <pic:spPr>
                  <a:xfrm>
                    <a:off x="0" y="0"/>
                    <a:ext cx="899795" cy="132715"/>
                  </a:xfrm>
                  <a:prstGeom prst="rect">
                    <a:avLst/>
                  </a:prstGeom>
                  <a:ln w="12700" cap="flat">
                    <a:noFill/>
                    <a:miter lim="400000"/>
                  </a:ln>
                  <a:effectLst/>
                </pic:spPr>
              </pic:pic>
            </a:graphicData>
          </a:graphic>
        </wp:anchor>
      </w:drawing>
    </w:r>
  </w:p>
  <w:p w14:paraId="18B11B22" w14:textId="03A17E3A" w:rsidR="00517E27" w:rsidRDefault="75188F0A" w:rsidP="75188F0A">
    <w:pPr>
      <w:tabs>
        <w:tab w:val="center" w:pos="4536"/>
        <w:tab w:val="right" w:pos="9072"/>
      </w:tabs>
      <w:spacing w:after="0" w:line="240" w:lineRule="auto"/>
    </w:pPr>
    <w:r w:rsidRPr="75188F0A">
      <w:rPr>
        <w:color w:val="000000" w:themeColor="text1"/>
        <w:sz w:val="32"/>
        <w:szCs w:val="32"/>
        <w:lang w:val="en-GB"/>
      </w:rPr>
      <w:t>Press release</w:t>
    </w:r>
  </w:p>
  <w:p w14:paraId="5450954C" w14:textId="4570EE76" w:rsidR="00517E27" w:rsidRDefault="00517E2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4A03" w14:textId="06FA0867" w:rsidR="00431957" w:rsidRDefault="00431957">
    <w:pPr>
      <w:pStyle w:val="Zhlav"/>
    </w:pPr>
    <w:r>
      <w:rPr>
        <w:noProof/>
      </w:rPr>
      <mc:AlternateContent>
        <mc:Choice Requires="wps">
          <w:drawing>
            <wp:anchor distT="0" distB="0" distL="0" distR="0" simplePos="0" relativeHeight="251658241" behindDoc="0" locked="0" layoutInCell="1" allowOverlap="1" wp14:anchorId="4121092C" wp14:editId="0AC22CEC">
              <wp:simplePos x="635" y="635"/>
              <wp:positionH relativeFrom="page">
                <wp:align>center</wp:align>
              </wp:positionH>
              <wp:positionV relativeFrom="page">
                <wp:align>top</wp:align>
              </wp:positionV>
              <wp:extent cx="326390" cy="334645"/>
              <wp:effectExtent l="0" t="0" r="16510" b="8255"/>
              <wp:wrapNone/>
              <wp:docPr id="215516917" name="Textové pole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34645"/>
                      </a:xfrm>
                      <a:prstGeom prst="rect">
                        <a:avLst/>
                      </a:prstGeom>
                      <a:noFill/>
                      <a:ln>
                        <a:noFill/>
                      </a:ln>
                    </wps:spPr>
                    <wps:txbx>
                      <w:txbxContent>
                        <w:p w14:paraId="57392568" w14:textId="465CFD2B" w:rsidR="00431957" w:rsidRPr="00431957" w:rsidRDefault="00431957" w:rsidP="00431957">
                          <w:pPr>
                            <w:spacing w:after="0"/>
                            <w:rPr>
                              <w:rFonts w:ascii="Calibri" w:eastAsia="Calibri" w:hAnsi="Calibri" w:cs="Calibri"/>
                              <w:noProof/>
                              <w:color w:val="000000"/>
                              <w:sz w:val="16"/>
                              <w:szCs w:val="16"/>
                            </w:rPr>
                          </w:pPr>
                          <w:r w:rsidRPr="00431957">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21092C" id="_x0000_t202" coordsize="21600,21600" o:spt="202" path="m,l,21600r21600,l21600,xe">
              <v:stroke joinstyle="miter"/>
              <v:path gradientshapeok="t" o:connecttype="rect"/>
            </v:shapetype>
            <v:shape id="Textové pole 1" o:spid="_x0000_s1027" type="#_x0000_t202" alt="General" style="position:absolute;margin-left:0;margin-top:0;width:25.7pt;height:26.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" filled="f" stroked="f">
              <v:textbox style="mso-fit-shape-to-text:t" inset="0,15pt,0,0">
                <w:txbxContent>
                  <w:p w14:paraId="57392568" w14:textId="465CFD2B" w:rsidR="00431957" w:rsidRPr="00431957" w:rsidRDefault="00431957" w:rsidP="00431957">
                    <w:pPr>
                      <w:spacing w:after="0"/>
                      <w:rPr>
                        <w:rFonts w:ascii="Calibri" w:eastAsia="Calibri" w:hAnsi="Calibri" w:cs="Calibri"/>
                        <w:noProof/>
                        <w:color w:val="000000"/>
                        <w:sz w:val="16"/>
                        <w:szCs w:val="16"/>
                      </w:rPr>
                    </w:pPr>
                    <w:r w:rsidRPr="00431957">
                      <w:rPr>
                        <w:rFonts w:ascii="Calibri" w:eastAsia="Calibri" w:hAnsi="Calibri" w:cs="Calibri"/>
                        <w:noProof/>
                        <w:color w:val="000000"/>
                        <w:sz w:val="16"/>
                        <w:szCs w:val="16"/>
                      </w:rPr>
                      <w:t>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0F6670"/>
    <w:rsid w:val="00000B53"/>
    <w:rsid w:val="0000402E"/>
    <w:rsid w:val="00015727"/>
    <w:rsid w:val="00021889"/>
    <w:rsid w:val="00031456"/>
    <w:rsid w:val="00043D4B"/>
    <w:rsid w:val="000601A1"/>
    <w:rsid w:val="00070C95"/>
    <w:rsid w:val="00082B72"/>
    <w:rsid w:val="00085BF1"/>
    <w:rsid w:val="000A6400"/>
    <w:rsid w:val="000B0D7F"/>
    <w:rsid w:val="000D192C"/>
    <w:rsid w:val="000E7936"/>
    <w:rsid w:val="000F2894"/>
    <w:rsid w:val="000F799E"/>
    <w:rsid w:val="001066FF"/>
    <w:rsid w:val="00117CBD"/>
    <w:rsid w:val="0012617B"/>
    <w:rsid w:val="00147215"/>
    <w:rsid w:val="00185675"/>
    <w:rsid w:val="001877AA"/>
    <w:rsid w:val="0019085B"/>
    <w:rsid w:val="001A1FB5"/>
    <w:rsid w:val="001B37E1"/>
    <w:rsid w:val="001B5AF4"/>
    <w:rsid w:val="001C714D"/>
    <w:rsid w:val="001F3967"/>
    <w:rsid w:val="0020090D"/>
    <w:rsid w:val="00202DA2"/>
    <w:rsid w:val="002038E9"/>
    <w:rsid w:val="00203BBF"/>
    <w:rsid w:val="00211E66"/>
    <w:rsid w:val="00212DB3"/>
    <w:rsid w:val="0022390D"/>
    <w:rsid w:val="0022482A"/>
    <w:rsid w:val="00241172"/>
    <w:rsid w:val="00253410"/>
    <w:rsid w:val="00255883"/>
    <w:rsid w:val="002573C3"/>
    <w:rsid w:val="0027330E"/>
    <w:rsid w:val="0028097B"/>
    <w:rsid w:val="00285BDC"/>
    <w:rsid w:val="00292053"/>
    <w:rsid w:val="00297A6A"/>
    <w:rsid w:val="002B5F47"/>
    <w:rsid w:val="002E6AEF"/>
    <w:rsid w:val="0030331A"/>
    <w:rsid w:val="003247CD"/>
    <w:rsid w:val="003305F7"/>
    <w:rsid w:val="00346F8F"/>
    <w:rsid w:val="00351D15"/>
    <w:rsid w:val="00356C02"/>
    <w:rsid w:val="00360F3A"/>
    <w:rsid w:val="003832E3"/>
    <w:rsid w:val="00392252"/>
    <w:rsid w:val="003942A1"/>
    <w:rsid w:val="003B6968"/>
    <w:rsid w:val="003B7B4E"/>
    <w:rsid w:val="003C566A"/>
    <w:rsid w:val="003D2328"/>
    <w:rsid w:val="003E175D"/>
    <w:rsid w:val="003E2780"/>
    <w:rsid w:val="003E5F25"/>
    <w:rsid w:val="003F3A84"/>
    <w:rsid w:val="00431957"/>
    <w:rsid w:val="00436301"/>
    <w:rsid w:val="004454C2"/>
    <w:rsid w:val="00445FAD"/>
    <w:rsid w:val="00452706"/>
    <w:rsid w:val="004546C8"/>
    <w:rsid w:val="0045792E"/>
    <w:rsid w:val="00463F13"/>
    <w:rsid w:val="00467308"/>
    <w:rsid w:val="00474BD1"/>
    <w:rsid w:val="00483000"/>
    <w:rsid w:val="00483C51"/>
    <w:rsid w:val="0049713D"/>
    <w:rsid w:val="004A16F4"/>
    <w:rsid w:val="004B1B8A"/>
    <w:rsid w:val="004B7B7E"/>
    <w:rsid w:val="004D2F47"/>
    <w:rsid w:val="004D498D"/>
    <w:rsid w:val="004E5107"/>
    <w:rsid w:val="004E54A5"/>
    <w:rsid w:val="004E5687"/>
    <w:rsid w:val="004F5D7C"/>
    <w:rsid w:val="004F70FE"/>
    <w:rsid w:val="004F7640"/>
    <w:rsid w:val="0050130C"/>
    <w:rsid w:val="0051194C"/>
    <w:rsid w:val="00513F91"/>
    <w:rsid w:val="005140D7"/>
    <w:rsid w:val="00514B1C"/>
    <w:rsid w:val="00517E27"/>
    <w:rsid w:val="00545258"/>
    <w:rsid w:val="0055158C"/>
    <w:rsid w:val="00553C15"/>
    <w:rsid w:val="00574544"/>
    <w:rsid w:val="00582DB7"/>
    <w:rsid w:val="00590159"/>
    <w:rsid w:val="005954EC"/>
    <w:rsid w:val="005958B0"/>
    <w:rsid w:val="005A0FFE"/>
    <w:rsid w:val="005A657F"/>
    <w:rsid w:val="005B0902"/>
    <w:rsid w:val="005B4EC1"/>
    <w:rsid w:val="005C3E3F"/>
    <w:rsid w:val="005E6798"/>
    <w:rsid w:val="005E7035"/>
    <w:rsid w:val="005F00D2"/>
    <w:rsid w:val="005F50AD"/>
    <w:rsid w:val="005F6031"/>
    <w:rsid w:val="006021C4"/>
    <w:rsid w:val="006034E8"/>
    <w:rsid w:val="00627DE4"/>
    <w:rsid w:val="00634A98"/>
    <w:rsid w:val="00634D8E"/>
    <w:rsid w:val="00642E8A"/>
    <w:rsid w:val="0067586B"/>
    <w:rsid w:val="00677467"/>
    <w:rsid w:val="00677FB7"/>
    <w:rsid w:val="006815D9"/>
    <w:rsid w:val="006A2D96"/>
    <w:rsid w:val="006B29CE"/>
    <w:rsid w:val="006C01EE"/>
    <w:rsid w:val="006C78E6"/>
    <w:rsid w:val="006D7E91"/>
    <w:rsid w:val="006E436E"/>
    <w:rsid w:val="006E6766"/>
    <w:rsid w:val="006F1EA0"/>
    <w:rsid w:val="006F575F"/>
    <w:rsid w:val="007150C6"/>
    <w:rsid w:val="00717AEE"/>
    <w:rsid w:val="007243E9"/>
    <w:rsid w:val="0073060E"/>
    <w:rsid w:val="00742617"/>
    <w:rsid w:val="00747265"/>
    <w:rsid w:val="00747312"/>
    <w:rsid w:val="0074788A"/>
    <w:rsid w:val="00750707"/>
    <w:rsid w:val="00766DF1"/>
    <w:rsid w:val="00767862"/>
    <w:rsid w:val="0077175E"/>
    <w:rsid w:val="007907ED"/>
    <w:rsid w:val="007936F9"/>
    <w:rsid w:val="007A721F"/>
    <w:rsid w:val="007B0DB0"/>
    <w:rsid w:val="007B143B"/>
    <w:rsid w:val="007B2862"/>
    <w:rsid w:val="007C51F6"/>
    <w:rsid w:val="007D34EF"/>
    <w:rsid w:val="007E4191"/>
    <w:rsid w:val="007F3A36"/>
    <w:rsid w:val="007F7BBF"/>
    <w:rsid w:val="008170D2"/>
    <w:rsid w:val="008231C1"/>
    <w:rsid w:val="008243D4"/>
    <w:rsid w:val="00824F96"/>
    <w:rsid w:val="0083117F"/>
    <w:rsid w:val="008358E3"/>
    <w:rsid w:val="008438B2"/>
    <w:rsid w:val="008543E0"/>
    <w:rsid w:val="00861DC2"/>
    <w:rsid w:val="00885C4A"/>
    <w:rsid w:val="008978F2"/>
    <w:rsid w:val="008A60A8"/>
    <w:rsid w:val="008A6493"/>
    <w:rsid w:val="008B0DB3"/>
    <w:rsid w:val="008B773B"/>
    <w:rsid w:val="008C2799"/>
    <w:rsid w:val="008F1D86"/>
    <w:rsid w:val="00917B9E"/>
    <w:rsid w:val="009254FA"/>
    <w:rsid w:val="009401F7"/>
    <w:rsid w:val="00942E9A"/>
    <w:rsid w:val="00946259"/>
    <w:rsid w:val="00947ACA"/>
    <w:rsid w:val="00960FE0"/>
    <w:rsid w:val="0096416B"/>
    <w:rsid w:val="00971E55"/>
    <w:rsid w:val="00973772"/>
    <w:rsid w:val="009851EA"/>
    <w:rsid w:val="0099248B"/>
    <w:rsid w:val="009A4410"/>
    <w:rsid w:val="009B0987"/>
    <w:rsid w:val="009B0A0C"/>
    <w:rsid w:val="009C0399"/>
    <w:rsid w:val="009E4F12"/>
    <w:rsid w:val="009F3142"/>
    <w:rsid w:val="009F567D"/>
    <w:rsid w:val="009F7402"/>
    <w:rsid w:val="009F7EBC"/>
    <w:rsid w:val="00A00E51"/>
    <w:rsid w:val="00A06EFA"/>
    <w:rsid w:val="00A16230"/>
    <w:rsid w:val="00A212D7"/>
    <w:rsid w:val="00A21F9A"/>
    <w:rsid w:val="00A274F4"/>
    <w:rsid w:val="00A473DC"/>
    <w:rsid w:val="00A558DA"/>
    <w:rsid w:val="00A56DFF"/>
    <w:rsid w:val="00A70C6D"/>
    <w:rsid w:val="00A752E6"/>
    <w:rsid w:val="00AA24C0"/>
    <w:rsid w:val="00AA5223"/>
    <w:rsid w:val="00AA5FF5"/>
    <w:rsid w:val="00AB17DF"/>
    <w:rsid w:val="00AB3006"/>
    <w:rsid w:val="00AB3A28"/>
    <w:rsid w:val="00AB48BC"/>
    <w:rsid w:val="00AC00D5"/>
    <w:rsid w:val="00AD75B6"/>
    <w:rsid w:val="00AE1856"/>
    <w:rsid w:val="00AE68A4"/>
    <w:rsid w:val="00AE7E76"/>
    <w:rsid w:val="00AF6A60"/>
    <w:rsid w:val="00B02401"/>
    <w:rsid w:val="00B05A9B"/>
    <w:rsid w:val="00B069D6"/>
    <w:rsid w:val="00B1731A"/>
    <w:rsid w:val="00B20038"/>
    <w:rsid w:val="00B2449C"/>
    <w:rsid w:val="00B40A97"/>
    <w:rsid w:val="00B66062"/>
    <w:rsid w:val="00B72AC0"/>
    <w:rsid w:val="00B72EC4"/>
    <w:rsid w:val="00B73BF0"/>
    <w:rsid w:val="00B827FF"/>
    <w:rsid w:val="00B90048"/>
    <w:rsid w:val="00BA0332"/>
    <w:rsid w:val="00BD6012"/>
    <w:rsid w:val="00BF182A"/>
    <w:rsid w:val="00BF3070"/>
    <w:rsid w:val="00BF5959"/>
    <w:rsid w:val="00C1188B"/>
    <w:rsid w:val="00C26E6F"/>
    <w:rsid w:val="00C279ED"/>
    <w:rsid w:val="00C44F53"/>
    <w:rsid w:val="00C5521D"/>
    <w:rsid w:val="00C678D1"/>
    <w:rsid w:val="00C74B24"/>
    <w:rsid w:val="00C85EEA"/>
    <w:rsid w:val="00CC7D4D"/>
    <w:rsid w:val="00CD798F"/>
    <w:rsid w:val="00CF1E31"/>
    <w:rsid w:val="00D04A30"/>
    <w:rsid w:val="00D1093D"/>
    <w:rsid w:val="00D10E8A"/>
    <w:rsid w:val="00D2245B"/>
    <w:rsid w:val="00D24BF8"/>
    <w:rsid w:val="00D267BC"/>
    <w:rsid w:val="00D347AA"/>
    <w:rsid w:val="00D34E71"/>
    <w:rsid w:val="00D46ADA"/>
    <w:rsid w:val="00D51227"/>
    <w:rsid w:val="00D56B24"/>
    <w:rsid w:val="00D56E51"/>
    <w:rsid w:val="00D572FA"/>
    <w:rsid w:val="00D7262C"/>
    <w:rsid w:val="00D76D84"/>
    <w:rsid w:val="00D81595"/>
    <w:rsid w:val="00D86DFF"/>
    <w:rsid w:val="00D927C6"/>
    <w:rsid w:val="00D94282"/>
    <w:rsid w:val="00DB4D0E"/>
    <w:rsid w:val="00DB5729"/>
    <w:rsid w:val="00DF30B5"/>
    <w:rsid w:val="00E1518E"/>
    <w:rsid w:val="00E25F00"/>
    <w:rsid w:val="00E305ED"/>
    <w:rsid w:val="00E50C9C"/>
    <w:rsid w:val="00E57FFC"/>
    <w:rsid w:val="00E60EA7"/>
    <w:rsid w:val="00E70686"/>
    <w:rsid w:val="00E814D4"/>
    <w:rsid w:val="00E84535"/>
    <w:rsid w:val="00E84F98"/>
    <w:rsid w:val="00E85FAF"/>
    <w:rsid w:val="00E873AC"/>
    <w:rsid w:val="00E93D06"/>
    <w:rsid w:val="00E972C0"/>
    <w:rsid w:val="00EB0F6B"/>
    <w:rsid w:val="00EB2905"/>
    <w:rsid w:val="00EB32E3"/>
    <w:rsid w:val="00EC4EB7"/>
    <w:rsid w:val="00ED5723"/>
    <w:rsid w:val="00EE2101"/>
    <w:rsid w:val="00EF3D24"/>
    <w:rsid w:val="00F0661F"/>
    <w:rsid w:val="00F06F3B"/>
    <w:rsid w:val="00F13F83"/>
    <w:rsid w:val="00F21952"/>
    <w:rsid w:val="00F254B9"/>
    <w:rsid w:val="00F26F65"/>
    <w:rsid w:val="00F34408"/>
    <w:rsid w:val="00F45495"/>
    <w:rsid w:val="00F576AB"/>
    <w:rsid w:val="00F74074"/>
    <w:rsid w:val="00F87D1D"/>
    <w:rsid w:val="00FB186B"/>
    <w:rsid w:val="00FC6D9B"/>
    <w:rsid w:val="00FE565A"/>
    <w:rsid w:val="00FE5F87"/>
    <w:rsid w:val="00FF3DA5"/>
    <w:rsid w:val="02205633"/>
    <w:rsid w:val="02231CD6"/>
    <w:rsid w:val="025EC59C"/>
    <w:rsid w:val="0393A245"/>
    <w:rsid w:val="03FA79EB"/>
    <w:rsid w:val="043547AD"/>
    <w:rsid w:val="04FD2084"/>
    <w:rsid w:val="051D6B2D"/>
    <w:rsid w:val="07AA68B8"/>
    <w:rsid w:val="083DCBE5"/>
    <w:rsid w:val="08B7A9BA"/>
    <w:rsid w:val="090E6434"/>
    <w:rsid w:val="096505C6"/>
    <w:rsid w:val="096E998C"/>
    <w:rsid w:val="09868238"/>
    <w:rsid w:val="09ED63C0"/>
    <w:rsid w:val="0A634570"/>
    <w:rsid w:val="0A75126D"/>
    <w:rsid w:val="0AD2419B"/>
    <w:rsid w:val="0B773BE4"/>
    <w:rsid w:val="0BAA75AE"/>
    <w:rsid w:val="0BBA3DAA"/>
    <w:rsid w:val="0C240CFC"/>
    <w:rsid w:val="0C419524"/>
    <w:rsid w:val="0D18704F"/>
    <w:rsid w:val="0D686B14"/>
    <w:rsid w:val="0DA76959"/>
    <w:rsid w:val="0E2BB85D"/>
    <w:rsid w:val="0E7B169D"/>
    <w:rsid w:val="0E7B2C64"/>
    <w:rsid w:val="0EC11156"/>
    <w:rsid w:val="100CDC05"/>
    <w:rsid w:val="1131D4F3"/>
    <w:rsid w:val="125CC95A"/>
    <w:rsid w:val="128D3240"/>
    <w:rsid w:val="12C7907E"/>
    <w:rsid w:val="130B9599"/>
    <w:rsid w:val="13C03124"/>
    <w:rsid w:val="144166BF"/>
    <w:rsid w:val="144F7704"/>
    <w:rsid w:val="148D523D"/>
    <w:rsid w:val="14FFF314"/>
    <w:rsid w:val="15C50B46"/>
    <w:rsid w:val="1653BBA6"/>
    <w:rsid w:val="1666513D"/>
    <w:rsid w:val="16BA7DA2"/>
    <w:rsid w:val="1785ABE2"/>
    <w:rsid w:val="1799B10B"/>
    <w:rsid w:val="17A5A700"/>
    <w:rsid w:val="17DD39E9"/>
    <w:rsid w:val="17F74DB3"/>
    <w:rsid w:val="1811BA78"/>
    <w:rsid w:val="183103B5"/>
    <w:rsid w:val="18339367"/>
    <w:rsid w:val="190395BA"/>
    <w:rsid w:val="194AB463"/>
    <w:rsid w:val="19789A60"/>
    <w:rsid w:val="1999545B"/>
    <w:rsid w:val="19BA426D"/>
    <w:rsid w:val="19E47870"/>
    <w:rsid w:val="19F45A82"/>
    <w:rsid w:val="1A19CEF9"/>
    <w:rsid w:val="1A6F519D"/>
    <w:rsid w:val="1AFF8A41"/>
    <w:rsid w:val="1B1BBE80"/>
    <w:rsid w:val="1BD3A24C"/>
    <w:rsid w:val="1BE134FB"/>
    <w:rsid w:val="1C3EAD6C"/>
    <w:rsid w:val="1CC2B2E5"/>
    <w:rsid w:val="1D6850E0"/>
    <w:rsid w:val="1E5525DD"/>
    <w:rsid w:val="1E610401"/>
    <w:rsid w:val="1EE1B33B"/>
    <w:rsid w:val="1FA53D4F"/>
    <w:rsid w:val="2034B1DB"/>
    <w:rsid w:val="21E3FDFB"/>
    <w:rsid w:val="22C11A40"/>
    <w:rsid w:val="243F14EB"/>
    <w:rsid w:val="24720F4F"/>
    <w:rsid w:val="250F6670"/>
    <w:rsid w:val="262D4AE4"/>
    <w:rsid w:val="266809FC"/>
    <w:rsid w:val="2749F8CD"/>
    <w:rsid w:val="27AC10AE"/>
    <w:rsid w:val="27FF4649"/>
    <w:rsid w:val="2853F46E"/>
    <w:rsid w:val="292A785B"/>
    <w:rsid w:val="293C6912"/>
    <w:rsid w:val="29401840"/>
    <w:rsid w:val="2A3F73CF"/>
    <w:rsid w:val="2AA542FC"/>
    <w:rsid w:val="2ABD5137"/>
    <w:rsid w:val="2B2F2CE3"/>
    <w:rsid w:val="2BA0A0D3"/>
    <w:rsid w:val="2D0AC961"/>
    <w:rsid w:val="2D8EDF09"/>
    <w:rsid w:val="2E347DDE"/>
    <w:rsid w:val="2EA14F56"/>
    <w:rsid w:val="304889C4"/>
    <w:rsid w:val="307F8F7E"/>
    <w:rsid w:val="30F92D81"/>
    <w:rsid w:val="31BE5130"/>
    <w:rsid w:val="31E3C804"/>
    <w:rsid w:val="31ED43F1"/>
    <w:rsid w:val="31F9306E"/>
    <w:rsid w:val="32700BC8"/>
    <w:rsid w:val="327B01FF"/>
    <w:rsid w:val="327FFBD8"/>
    <w:rsid w:val="3286B022"/>
    <w:rsid w:val="341A3F7C"/>
    <w:rsid w:val="3472A6D8"/>
    <w:rsid w:val="35D62ABE"/>
    <w:rsid w:val="35EA4EEE"/>
    <w:rsid w:val="36C3938A"/>
    <w:rsid w:val="36FF199F"/>
    <w:rsid w:val="372D0E3E"/>
    <w:rsid w:val="37A85800"/>
    <w:rsid w:val="37CCCC7D"/>
    <w:rsid w:val="386D1752"/>
    <w:rsid w:val="38811CF4"/>
    <w:rsid w:val="38F3FEC0"/>
    <w:rsid w:val="39C88A2E"/>
    <w:rsid w:val="3A281E58"/>
    <w:rsid w:val="3A43674B"/>
    <w:rsid w:val="3A7C1CFE"/>
    <w:rsid w:val="3A856C8E"/>
    <w:rsid w:val="3AA1EC76"/>
    <w:rsid w:val="3AB47F56"/>
    <w:rsid w:val="3ADC441E"/>
    <w:rsid w:val="3B3CEB72"/>
    <w:rsid w:val="3C365771"/>
    <w:rsid w:val="3C3B23E2"/>
    <w:rsid w:val="3CCB55EF"/>
    <w:rsid w:val="3D160586"/>
    <w:rsid w:val="3E3D5B4A"/>
    <w:rsid w:val="3E5052E2"/>
    <w:rsid w:val="3E6EA3D1"/>
    <w:rsid w:val="3F15851B"/>
    <w:rsid w:val="3F1E0F08"/>
    <w:rsid w:val="3F499E4B"/>
    <w:rsid w:val="3F5C7A4F"/>
    <w:rsid w:val="3FA9B52E"/>
    <w:rsid w:val="40D2FEEB"/>
    <w:rsid w:val="412FCB4A"/>
    <w:rsid w:val="4196CA14"/>
    <w:rsid w:val="41AC8697"/>
    <w:rsid w:val="41C68C60"/>
    <w:rsid w:val="41FC1EF7"/>
    <w:rsid w:val="426E72A1"/>
    <w:rsid w:val="43119369"/>
    <w:rsid w:val="443A50FE"/>
    <w:rsid w:val="450DBD30"/>
    <w:rsid w:val="454F8A32"/>
    <w:rsid w:val="4567B2B8"/>
    <w:rsid w:val="45B53873"/>
    <w:rsid w:val="46ED6DC6"/>
    <w:rsid w:val="47BE4819"/>
    <w:rsid w:val="47CFBC00"/>
    <w:rsid w:val="47DF4B9F"/>
    <w:rsid w:val="480AC332"/>
    <w:rsid w:val="48E36270"/>
    <w:rsid w:val="4902C2D2"/>
    <w:rsid w:val="49E8C27A"/>
    <w:rsid w:val="4AFBC36B"/>
    <w:rsid w:val="4B174110"/>
    <w:rsid w:val="4B38926D"/>
    <w:rsid w:val="4B42F231"/>
    <w:rsid w:val="4B7C214C"/>
    <w:rsid w:val="4B84206D"/>
    <w:rsid w:val="4C2A6FFB"/>
    <w:rsid w:val="4CF73022"/>
    <w:rsid w:val="4FFD8BD4"/>
    <w:rsid w:val="501B6F20"/>
    <w:rsid w:val="504D69A2"/>
    <w:rsid w:val="506D542C"/>
    <w:rsid w:val="508F3318"/>
    <w:rsid w:val="50C8E432"/>
    <w:rsid w:val="51E02176"/>
    <w:rsid w:val="51F744AF"/>
    <w:rsid w:val="520EE182"/>
    <w:rsid w:val="52AE0BCB"/>
    <w:rsid w:val="52DBA9D3"/>
    <w:rsid w:val="538EB6B1"/>
    <w:rsid w:val="53D27DDC"/>
    <w:rsid w:val="5408EE41"/>
    <w:rsid w:val="5481C79A"/>
    <w:rsid w:val="54FBE888"/>
    <w:rsid w:val="55451F2E"/>
    <w:rsid w:val="5620F56B"/>
    <w:rsid w:val="5677C0A3"/>
    <w:rsid w:val="570D9899"/>
    <w:rsid w:val="5768E009"/>
    <w:rsid w:val="57BABC02"/>
    <w:rsid w:val="580EF8E4"/>
    <w:rsid w:val="5811FE60"/>
    <w:rsid w:val="582C10D2"/>
    <w:rsid w:val="588A11D1"/>
    <w:rsid w:val="58900906"/>
    <w:rsid w:val="595C8F85"/>
    <w:rsid w:val="5A079B4F"/>
    <w:rsid w:val="5A90E07B"/>
    <w:rsid w:val="5B358155"/>
    <w:rsid w:val="5B57D328"/>
    <w:rsid w:val="5B6D7CF7"/>
    <w:rsid w:val="5BBFD571"/>
    <w:rsid w:val="5C456109"/>
    <w:rsid w:val="5F8E7690"/>
    <w:rsid w:val="5F9DDD1E"/>
    <w:rsid w:val="5FACD233"/>
    <w:rsid w:val="60239972"/>
    <w:rsid w:val="60D05AC5"/>
    <w:rsid w:val="60F0F495"/>
    <w:rsid w:val="610BBFF7"/>
    <w:rsid w:val="6153BEB1"/>
    <w:rsid w:val="617D5ED4"/>
    <w:rsid w:val="61827106"/>
    <w:rsid w:val="6183F69F"/>
    <w:rsid w:val="61E2B5E6"/>
    <w:rsid w:val="6398F56B"/>
    <w:rsid w:val="63A2B5BC"/>
    <w:rsid w:val="63C8A85D"/>
    <w:rsid w:val="641744ED"/>
    <w:rsid w:val="6457701B"/>
    <w:rsid w:val="64887A8E"/>
    <w:rsid w:val="64EE6C00"/>
    <w:rsid w:val="6527B59C"/>
    <w:rsid w:val="6531602D"/>
    <w:rsid w:val="663ED1E2"/>
    <w:rsid w:val="66EB7929"/>
    <w:rsid w:val="683C5FA5"/>
    <w:rsid w:val="68929E32"/>
    <w:rsid w:val="68DE3C0C"/>
    <w:rsid w:val="69AB2EF9"/>
    <w:rsid w:val="69F26202"/>
    <w:rsid w:val="6AFBCF29"/>
    <w:rsid w:val="6B3F619C"/>
    <w:rsid w:val="6B5C10D3"/>
    <w:rsid w:val="6B975926"/>
    <w:rsid w:val="6BB4A852"/>
    <w:rsid w:val="6C312A9B"/>
    <w:rsid w:val="6C42B029"/>
    <w:rsid w:val="6C9B4314"/>
    <w:rsid w:val="6D113AA6"/>
    <w:rsid w:val="6D87CC4D"/>
    <w:rsid w:val="6DEF7761"/>
    <w:rsid w:val="6E7FB01A"/>
    <w:rsid w:val="703C0A76"/>
    <w:rsid w:val="7075FAC2"/>
    <w:rsid w:val="70A6220A"/>
    <w:rsid w:val="70B0A0B1"/>
    <w:rsid w:val="7166DD5F"/>
    <w:rsid w:val="71D5A92F"/>
    <w:rsid w:val="724CB3E8"/>
    <w:rsid w:val="728F0370"/>
    <w:rsid w:val="72F29F49"/>
    <w:rsid w:val="73304CC5"/>
    <w:rsid w:val="736B3613"/>
    <w:rsid w:val="7382E018"/>
    <w:rsid w:val="7408EE3E"/>
    <w:rsid w:val="740E6DAB"/>
    <w:rsid w:val="743C3A0B"/>
    <w:rsid w:val="7485B491"/>
    <w:rsid w:val="74950A9A"/>
    <w:rsid w:val="74F4CAA4"/>
    <w:rsid w:val="75188F0A"/>
    <w:rsid w:val="75464123"/>
    <w:rsid w:val="75628A1D"/>
    <w:rsid w:val="75B1B0E4"/>
    <w:rsid w:val="76204BCE"/>
    <w:rsid w:val="7634B34B"/>
    <w:rsid w:val="7644473C"/>
    <w:rsid w:val="76A20550"/>
    <w:rsid w:val="77BCE1F0"/>
    <w:rsid w:val="78F6DB4B"/>
    <w:rsid w:val="79583404"/>
    <w:rsid w:val="79F4777E"/>
    <w:rsid w:val="7A57CAE1"/>
    <w:rsid w:val="7AE3F18D"/>
    <w:rsid w:val="7AF4C259"/>
    <w:rsid w:val="7B1473E8"/>
    <w:rsid w:val="7BF88C73"/>
    <w:rsid w:val="7C2DC3C5"/>
    <w:rsid w:val="7CF29FCA"/>
    <w:rsid w:val="7D165EC1"/>
    <w:rsid w:val="7DD4DC9E"/>
    <w:rsid w:val="7E130CD2"/>
    <w:rsid w:val="7F2DD764"/>
    <w:rsid w:val="7F54C07C"/>
    <w:rsid w:val="7F5FDB66"/>
    <w:rsid w:val="7F6A8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F6670"/>
  <w15:chartTrackingRefBased/>
  <w15:docId w15:val="{C9857D14-DB7C-4F23-AE08-48D3015B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uiPriority w:val="9"/>
    <w:unhideWhenUsed/>
    <w:qFormat/>
    <w:rsid w:val="051D6B2D"/>
    <w:pPr>
      <w:keepNext/>
      <w:keepLines/>
      <w:spacing w:before="160" w:after="80"/>
      <w:outlineLvl w:val="2"/>
    </w:pPr>
    <w:rPr>
      <w:rFonts w:eastAsiaTheme="minorEastAsia" w:cstheme="majorEastAsia"/>
      <w:color w:val="0F476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F575F"/>
    <w:rPr>
      <w:rFonts w:ascii="Times New Roman" w:hAnsi="Times New Roman" w:cs="Times New Roman"/>
    </w:rPr>
  </w:style>
  <w:style w:type="character" w:customStyle="1" w:styleId="Hyperlink0">
    <w:name w:val="Hyperlink.0"/>
    <w:basedOn w:val="Standardnpsmoodstavce"/>
    <w:uiPriority w:val="1"/>
    <w:rsid w:val="520EE182"/>
    <w:rPr>
      <w:rFonts w:ascii="Times New Roman" w:eastAsia="Arial Unicode MS" w:hAnsi="Times New Roman" w:cs="Times New Roman"/>
      <w:color w:val="0563C1"/>
      <w:sz w:val="20"/>
      <w:szCs w:val="20"/>
      <w:u w:val="single"/>
    </w:rPr>
  </w:style>
  <w:style w:type="character" w:customStyle="1" w:styleId="Hyperlink1">
    <w:name w:val="Hyperlink.1"/>
    <w:basedOn w:val="Standardnpsmoodstavce"/>
    <w:uiPriority w:val="1"/>
    <w:rsid w:val="520EE182"/>
    <w:rPr>
      <w:rFonts w:ascii="Calibri" w:eastAsia="Calibri" w:hAnsi="Calibri" w:cs="Calibri"/>
      <w:i/>
      <w:iCs/>
      <w:color w:val="0563C1"/>
      <w:sz w:val="20"/>
      <w:szCs w:val="20"/>
      <w:u w:val="single"/>
    </w:rPr>
  </w:style>
  <w:style w:type="character" w:styleId="Hypertextovodkaz">
    <w:name w:val="Hyperlink"/>
    <w:basedOn w:val="Standardnpsmoodstavce"/>
    <w:uiPriority w:val="99"/>
    <w:unhideWhenUsed/>
    <w:rsid w:val="520EE182"/>
    <w:rPr>
      <w:color w:val="467886"/>
      <w:u w:val="single"/>
    </w:rPr>
  </w:style>
  <w:style w:type="paragraph" w:styleId="Zhlav">
    <w:name w:val="header"/>
    <w:basedOn w:val="Normln"/>
    <w:link w:val="ZhlavChar"/>
    <w:unhideWhenUsed/>
    <w:rsid w:val="00517E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E27"/>
  </w:style>
  <w:style w:type="paragraph" w:styleId="Zpat">
    <w:name w:val="footer"/>
    <w:basedOn w:val="Normln"/>
    <w:link w:val="ZpatChar"/>
    <w:uiPriority w:val="99"/>
    <w:unhideWhenUsed/>
    <w:rsid w:val="00517E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E27"/>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431957"/>
    <w:pPr>
      <w:spacing w:after="0" w:line="240" w:lineRule="auto"/>
    </w:pPr>
  </w:style>
  <w:style w:type="paragraph" w:styleId="Pedmtkomente">
    <w:name w:val="annotation subject"/>
    <w:basedOn w:val="Textkomente"/>
    <w:next w:val="Textkomente"/>
    <w:link w:val="PedmtkomenteChar"/>
    <w:uiPriority w:val="99"/>
    <w:semiHidden/>
    <w:unhideWhenUsed/>
    <w:rsid w:val="00346F8F"/>
    <w:rPr>
      <w:b/>
      <w:bCs/>
    </w:rPr>
  </w:style>
  <w:style w:type="character" w:customStyle="1" w:styleId="PedmtkomenteChar">
    <w:name w:val="Předmět komentáře Char"/>
    <w:basedOn w:val="TextkomenteChar"/>
    <w:link w:val="Pedmtkomente"/>
    <w:uiPriority w:val="99"/>
    <w:semiHidden/>
    <w:rsid w:val="00346F8F"/>
    <w:rPr>
      <w:b/>
      <w:bCs/>
      <w:sz w:val="20"/>
      <w:szCs w:val="20"/>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99"/>
    <w:semiHidden/>
    <w:unhideWhenUsed/>
    <w:rsid w:val="00AA5FF5"/>
    <w:tblPr>
      <w:tblInd w:w="0" w:type="dxa"/>
      <w:tblCellMar>
        <w:top w:w="0" w:type="dxa"/>
        <w:left w:w="108" w:type="dxa"/>
        <w:bottom w:w="0" w:type="dxa"/>
        <w:right w:w="108" w:type="dxa"/>
      </w:tblCellMar>
    </w:tblPr>
  </w:style>
  <w:style w:type="character" w:styleId="Nevyeenzmnka">
    <w:name w:val="Unresolved Mention"/>
    <w:basedOn w:val="Standardnpsmoodstavce"/>
    <w:uiPriority w:val="99"/>
    <w:semiHidden/>
    <w:unhideWhenUsed/>
    <w:rsid w:val="009B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nisa.kolarikova@crestcom.cz" TargetMode="External"/><Relationship Id="rId18" Type="http://schemas.openxmlformats.org/officeDocument/2006/relationships/hyperlink" Target="https://www.afi-europe.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klara.pirochova@knktr.cz" TargetMode="External"/><Relationship Id="rId17" Type="http://schemas.openxmlformats.org/officeDocument/2006/relationships/hyperlink" Target="https://cz.linkedin.com/company/afi-czech-republic" TargetMode="External"/><Relationship Id="rId2" Type="http://schemas.openxmlformats.org/officeDocument/2006/relationships/customXml" Target="../customXml/item2.xml"/><Relationship Id="rId16" Type="http://schemas.openxmlformats.org/officeDocument/2006/relationships/hyperlink" Target="https://www.skanska.cz/co-delame/development/komercni-development/&#1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vesela@skanska.cz"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Skanska.v.CR.a.SR/"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skanska/?originalSubdomain=c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B2175FD1E2D45B2F2AC5838395223" ma:contentTypeVersion="19" ma:contentTypeDescription="Create a new document." ma:contentTypeScope="" ma:versionID="fcca5fd8a67eca2dc0c435f283b81395">
  <xsd:schema xmlns:xsd="http://www.w3.org/2001/XMLSchema" xmlns:xs="http://www.w3.org/2001/XMLSchema" xmlns:p="http://schemas.microsoft.com/office/2006/metadata/properties" xmlns:ns2="2a5ed19e-4bae-46f6-8842-755f17a05d97" xmlns:ns3="9254fb84-3322-4562-b8a8-596d72c52dc3" targetNamespace="http://schemas.microsoft.com/office/2006/metadata/properties" ma:root="true" ma:fieldsID="fca5de12372940714e59f00d24a4039f" ns2:_="" ns3:_="">
    <xsd:import namespace="2a5ed19e-4bae-46f6-8842-755f17a05d97"/>
    <xsd:import namespace="9254fb84-3322-4562-b8a8-596d72c52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p"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d19e-4bae-46f6-8842-755f17a05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p" ma:index="21" nillable="true" ma:displayName="Lp" ma:format="Dropdown" ma:internalName="Lp"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4fb84-3322-4562-b8a8-596d72c52d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a3ec54-e935-437c-8898-568a2fa77699}" ma:internalName="TaxCatchAll" ma:showField="CatchAllData" ma:web="9254fb84-3322-4562-b8a8-596d72c52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5ed19e-4bae-46f6-8842-755f17a05d97">
      <Terms xmlns="http://schemas.microsoft.com/office/infopath/2007/PartnerControls"/>
    </lcf76f155ced4ddcb4097134ff3c332f>
    <TaxCatchAll xmlns="9254fb84-3322-4562-b8a8-596d72c52dc3" xsi:nil="true"/>
    <Lp xmlns="2a5ed19e-4bae-46f6-8842-755f17a05d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570A-8728-4C6B-8BF7-452CFD83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d19e-4bae-46f6-8842-755f17a05d97"/>
    <ds:schemaRef ds:uri="9254fb84-3322-4562-b8a8-596d72c52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329A3-BE85-44CE-90B5-A32D57447B7A}">
  <ds:schemaRefs>
    <ds:schemaRef ds:uri="http://schemas.microsoft.com/sharepoint/v3/contenttype/forms"/>
  </ds:schemaRefs>
</ds:datastoreItem>
</file>

<file path=customXml/itemProps3.xml><?xml version="1.0" encoding="utf-8"?>
<ds:datastoreItem xmlns:ds="http://schemas.openxmlformats.org/officeDocument/2006/customXml" ds:itemID="{69E78C1C-BC6A-4808-8732-D53836075153}">
  <ds:schemaRefs>
    <ds:schemaRef ds:uri="http://schemas.microsoft.com/office/2006/metadata/properties"/>
    <ds:schemaRef ds:uri="http://schemas.microsoft.com/office/infopath/2007/PartnerControls"/>
    <ds:schemaRef ds:uri="2a5ed19e-4bae-46f6-8842-755f17a05d97"/>
    <ds:schemaRef ds:uri="9254fb84-3322-4562-b8a8-596d72c52dc3"/>
  </ds:schemaRefs>
</ds:datastoreItem>
</file>

<file path=customXml/itemProps4.xml><?xml version="1.0" encoding="utf-8"?>
<ds:datastoreItem xmlns:ds="http://schemas.openxmlformats.org/officeDocument/2006/customXml" ds:itemID="{A31BD4DD-1729-49FE-BD54-8FA614F7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1210</Words>
  <Characters>7139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8333</CharactersWithSpaces>
  <SharedDoc>false</SharedDoc>
  <HLinks>
    <vt:vector size="24" baseType="variant">
      <vt:variant>
        <vt:i4>3539061</vt:i4>
      </vt:variant>
      <vt:variant>
        <vt:i4>9</vt:i4>
      </vt:variant>
      <vt:variant>
        <vt:i4>0</vt:i4>
      </vt:variant>
      <vt:variant>
        <vt:i4>5</vt:i4>
      </vt:variant>
      <vt:variant>
        <vt:lpwstr>https://www.skanska.cz/co-delame/development/komercni-development/ </vt:lpwstr>
      </vt:variant>
      <vt:variant>
        <vt:lpwstr/>
      </vt:variant>
      <vt:variant>
        <vt:i4>2162728</vt:i4>
      </vt:variant>
      <vt:variant>
        <vt:i4>6</vt:i4>
      </vt:variant>
      <vt:variant>
        <vt:i4>0</vt:i4>
      </vt:variant>
      <vt:variant>
        <vt:i4>5</vt:i4>
      </vt:variant>
      <vt:variant>
        <vt:lpwstr>https://www.facebook.com/Skanska.v.CR.a.SR/</vt:lpwstr>
      </vt:variant>
      <vt:variant>
        <vt:lpwstr/>
      </vt:variant>
      <vt:variant>
        <vt:i4>2228259</vt:i4>
      </vt:variant>
      <vt:variant>
        <vt:i4>3</vt:i4>
      </vt:variant>
      <vt:variant>
        <vt:i4>0</vt:i4>
      </vt:variant>
      <vt:variant>
        <vt:i4>5</vt:i4>
      </vt:variant>
      <vt:variant>
        <vt:lpwstr>https://www.linkedin.com/company/skanska/?originalSubdomain=cz</vt:lpwstr>
      </vt:variant>
      <vt:variant>
        <vt:lpwstr/>
      </vt:variant>
      <vt:variant>
        <vt:i4>1310833</vt:i4>
      </vt:variant>
      <vt:variant>
        <vt:i4>0</vt:i4>
      </vt:variant>
      <vt:variant>
        <vt:i4>0</vt:i4>
      </vt:variant>
      <vt:variant>
        <vt:i4>5</vt:i4>
      </vt:variant>
      <vt:variant>
        <vt:lpwstr>mailto:petra.vesela@skanska.cz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Menclova</dc:creator>
  <cp:keywords/>
  <dc:description/>
  <cp:lastModifiedBy>Tereza Štosová</cp:lastModifiedBy>
  <cp:revision>11</cp:revision>
  <cp:lastPrinted>2025-01-22T01:34:00Z</cp:lastPrinted>
  <dcterms:created xsi:type="dcterms:W3CDTF">2025-12-02T14:30:00Z</dcterms:created>
  <dcterms:modified xsi:type="dcterms:W3CDTF">2025-12-03T11:08:00Z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0x0101006F5B2175FD1E2D45B2F2AC5838395223</vt:lpwstr>
  </property>
  <property fmtid="{D5CDD505-2E9C-101B-9397-08002B2CF9AE}" pid="4" name="ClassificationContentMarkingHeaderShapeIds">
    <vt:lpwstr>cd886f5,75c4b51f,5aaadde4</vt:lpwstr>
  </property>
  <property fmtid="{D5CDD505-2E9C-101B-9397-08002B2CF9AE}" pid="5" name="ClassificationContentMarkingHeaderFontProps">
    <vt:lpwstr>#000000,8,Calibri</vt:lpwstr>
  </property>
  <property fmtid="{D5CDD505-2E9C-101B-9397-08002B2CF9AE}" pid="6" name="ClassificationContentMarkingHeaderText">
    <vt:lpwstr>General</vt:lpwstr>
  </property>
  <property fmtid="{D5CDD505-2E9C-101B-9397-08002B2CF9AE}" pid="7" name="MSIP_Label_aee490da-fed8-48ce-ab1f-32dee818a6c1_Enabled">
    <vt:lpwstr>true</vt:lpwstr>
  </property>
  <property fmtid="{D5CDD505-2E9C-101B-9397-08002B2CF9AE}" pid="8" name="MSIP_Label_aee490da-fed8-48ce-ab1f-32dee818a6c1_SetDate">
    <vt:lpwstr>2025-01-30T11:23:58Z</vt:lpwstr>
  </property>
  <property fmtid="{D5CDD505-2E9C-101B-9397-08002B2CF9AE}" pid="9" name="MSIP_Label_aee490da-fed8-48ce-ab1f-32dee818a6c1_Method">
    <vt:lpwstr>Standard</vt:lpwstr>
  </property>
  <property fmtid="{D5CDD505-2E9C-101B-9397-08002B2CF9AE}" pid="10" name="MSIP_Label_aee490da-fed8-48ce-ab1f-32dee818a6c1_Name">
    <vt:lpwstr>General-Marking</vt:lpwstr>
  </property>
  <property fmtid="{D5CDD505-2E9C-101B-9397-08002B2CF9AE}" pid="11" name="MSIP_Label_aee490da-fed8-48ce-ab1f-32dee818a6c1_SiteId">
    <vt:lpwstr>33dab507-5210-4075-805b-f2717d8cfa74</vt:lpwstr>
  </property>
  <property fmtid="{D5CDD505-2E9C-101B-9397-08002B2CF9AE}" pid="12" name="MSIP_Label_aee490da-fed8-48ce-ab1f-32dee818a6c1_ActionId">
    <vt:lpwstr>063d1571-f10f-4277-9004-e5e9451fa21f</vt:lpwstr>
  </property>
  <property fmtid="{D5CDD505-2E9C-101B-9397-08002B2CF9AE}" pid="13" name="MSIP_Label_aee490da-fed8-48ce-ab1f-32dee818a6c1_ContentBits">
    <vt:lpwstr>1</vt:lpwstr>
  </property>
</Properties>
</file>